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2" w:after="360" w:line="336" w:lineRule="atLeast"/>
        <w:jc w:val="center"/>
        <w:rPr>
          <w:rFonts w:ascii="仿宋" w:hAnsi="仿宋" w:eastAsia="仿宋" w:cs="仿宋"/>
          <w:color w:val="333333"/>
          <w:sz w:val="28"/>
          <w:szCs w:val="28"/>
        </w:rPr>
      </w:pPr>
      <w:bookmarkStart w:id="8" w:name="_GoBack"/>
      <w:bookmarkEnd w:id="8"/>
      <w:r>
        <w:rPr>
          <w:rFonts w:hint="eastAsia" w:ascii="黑体" w:hAnsi="宋体" w:eastAsia="黑体" w:cs="宋体"/>
          <w:b/>
          <w:kern w:val="0"/>
          <w:sz w:val="44"/>
        </w:rPr>
        <w:t>启东市政府分散采购询价公告</w:t>
      </w:r>
    </w:p>
    <w:p>
      <w:pPr>
        <w:widowControl/>
        <w:spacing w:line="44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启东市人民检察院根据《中华人民共和国政府采购法》、启东市政府采购管理的有关规定，就启东市人民检察院装备采购项目进行分散询价采购(详细内容见采购需求一览表)。  </w:t>
      </w:r>
    </w:p>
    <w:tbl>
      <w:tblPr>
        <w:tblStyle w:val="10"/>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31"/>
        <w:gridCol w:w="846"/>
        <w:gridCol w:w="4932"/>
        <w:gridCol w:w="684"/>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498" w:type="dxa"/>
            <w:vAlign w:val="center"/>
          </w:tcPr>
          <w:p>
            <w:pPr>
              <w:widowControl/>
              <w:jc w:val="center"/>
              <w:rPr>
                <w:rFonts w:ascii="宋体" w:cs="宋体"/>
                <w:kern w:val="0"/>
                <w:sz w:val="20"/>
                <w:szCs w:val="20"/>
              </w:rPr>
            </w:pPr>
            <w:r>
              <w:rPr>
                <w:rFonts w:hint="eastAsia" w:ascii="宋体" w:hAnsi="宋体" w:cs="宋体"/>
                <w:kern w:val="0"/>
                <w:sz w:val="20"/>
                <w:szCs w:val="20"/>
              </w:rPr>
              <w:t>序号</w:t>
            </w:r>
          </w:p>
        </w:tc>
        <w:tc>
          <w:tcPr>
            <w:tcW w:w="831" w:type="dxa"/>
            <w:vAlign w:val="center"/>
          </w:tcPr>
          <w:p>
            <w:pPr>
              <w:widowControl/>
              <w:jc w:val="center"/>
              <w:rPr>
                <w:rFonts w:ascii="宋体" w:cs="宋体"/>
                <w:kern w:val="0"/>
                <w:sz w:val="20"/>
                <w:szCs w:val="20"/>
              </w:rPr>
            </w:pPr>
            <w:r>
              <w:rPr>
                <w:rFonts w:hint="eastAsia" w:ascii="宋体" w:hAnsi="宋体" w:cs="宋体"/>
                <w:kern w:val="0"/>
                <w:sz w:val="20"/>
                <w:szCs w:val="20"/>
              </w:rPr>
              <w:t>名称</w:t>
            </w:r>
          </w:p>
        </w:tc>
        <w:tc>
          <w:tcPr>
            <w:tcW w:w="846" w:type="dxa"/>
            <w:vAlign w:val="center"/>
          </w:tcPr>
          <w:p>
            <w:pPr>
              <w:widowControl/>
              <w:jc w:val="center"/>
              <w:rPr>
                <w:rFonts w:ascii="宋体" w:cs="宋体"/>
                <w:kern w:val="0"/>
                <w:sz w:val="20"/>
                <w:szCs w:val="20"/>
              </w:rPr>
            </w:pPr>
            <w:r>
              <w:rPr>
                <w:rFonts w:hint="eastAsia" w:ascii="宋体" w:hAnsi="宋体" w:cs="宋体"/>
                <w:kern w:val="0"/>
                <w:sz w:val="20"/>
                <w:szCs w:val="20"/>
              </w:rPr>
              <w:t>推荐品牌</w:t>
            </w:r>
          </w:p>
        </w:tc>
        <w:tc>
          <w:tcPr>
            <w:tcW w:w="4932" w:type="dxa"/>
            <w:vAlign w:val="center"/>
          </w:tcPr>
          <w:p>
            <w:pPr>
              <w:widowControl/>
              <w:jc w:val="center"/>
              <w:rPr>
                <w:rFonts w:ascii="宋体" w:cs="宋体"/>
                <w:kern w:val="0"/>
                <w:sz w:val="20"/>
                <w:szCs w:val="20"/>
              </w:rPr>
            </w:pPr>
            <w:r>
              <w:rPr>
                <w:rFonts w:hint="eastAsia" w:ascii="宋体" w:hAnsi="宋体" w:cs="宋体"/>
                <w:kern w:val="0"/>
                <w:sz w:val="20"/>
                <w:szCs w:val="20"/>
              </w:rPr>
              <w:t>设备参数</w:t>
            </w:r>
          </w:p>
        </w:tc>
        <w:tc>
          <w:tcPr>
            <w:tcW w:w="684" w:type="dxa"/>
            <w:vAlign w:val="center"/>
          </w:tcPr>
          <w:p>
            <w:pPr>
              <w:widowControl/>
              <w:jc w:val="center"/>
              <w:rPr>
                <w:rFonts w:ascii="宋体" w:cs="宋体"/>
                <w:kern w:val="0"/>
                <w:sz w:val="20"/>
                <w:szCs w:val="20"/>
              </w:rPr>
            </w:pPr>
            <w:r>
              <w:rPr>
                <w:rFonts w:hint="eastAsia" w:ascii="宋体" w:hAnsi="宋体" w:cs="宋体"/>
                <w:kern w:val="0"/>
                <w:sz w:val="20"/>
                <w:szCs w:val="20"/>
              </w:rPr>
              <w:t>数量</w:t>
            </w:r>
          </w:p>
        </w:tc>
        <w:tc>
          <w:tcPr>
            <w:tcW w:w="1028" w:type="dxa"/>
            <w:vAlign w:val="center"/>
          </w:tcPr>
          <w:p>
            <w:pPr>
              <w:widowControl/>
              <w:jc w:val="center"/>
              <w:rPr>
                <w:rFonts w:ascii="宋体" w:hAnsi="宋体" w:cs="宋体"/>
                <w:spacing w:val="-10"/>
                <w:kern w:val="0"/>
                <w:sz w:val="20"/>
                <w:szCs w:val="20"/>
              </w:rPr>
            </w:pPr>
            <w:r>
              <w:rPr>
                <w:rFonts w:hint="eastAsia" w:ascii="宋体" w:hAnsi="宋体" w:cs="宋体"/>
                <w:spacing w:val="-10"/>
                <w:kern w:val="0"/>
                <w:sz w:val="20"/>
                <w:szCs w:val="20"/>
              </w:rPr>
              <w:t>单价限价（元/台）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1" w:hRule="atLeast"/>
        </w:trPr>
        <w:tc>
          <w:tcPr>
            <w:tcW w:w="498" w:type="dxa"/>
            <w:vAlign w:val="center"/>
          </w:tcPr>
          <w:p>
            <w:pPr>
              <w:widowControl/>
              <w:jc w:val="center"/>
              <w:rPr>
                <w:rFonts w:ascii="宋体" w:hAnsi="宋体" w:cs="宋体"/>
                <w:kern w:val="0"/>
                <w:sz w:val="20"/>
                <w:szCs w:val="20"/>
              </w:rPr>
            </w:pPr>
            <w:r>
              <w:rPr>
                <w:rFonts w:ascii="宋体" w:hAnsi="宋体" w:cs="宋体"/>
                <w:kern w:val="0"/>
                <w:sz w:val="20"/>
                <w:szCs w:val="20"/>
              </w:rPr>
              <w:t>1</w:t>
            </w:r>
          </w:p>
        </w:tc>
        <w:tc>
          <w:tcPr>
            <w:tcW w:w="831" w:type="dxa"/>
            <w:vAlign w:val="center"/>
          </w:tcPr>
          <w:p>
            <w:pPr>
              <w:widowControl/>
              <w:rPr>
                <w:rFonts w:cs="仿宋_GB2312" w:asciiTheme="majorEastAsia" w:hAnsiTheme="majorEastAsia" w:eastAsiaTheme="majorEastAsia"/>
                <w:szCs w:val="21"/>
              </w:rPr>
            </w:pPr>
            <w:r>
              <w:rPr>
                <w:rFonts w:hint="eastAsia" w:cs="仿宋_GB2312" w:asciiTheme="majorEastAsia" w:hAnsiTheme="majorEastAsia" w:eastAsiaTheme="majorEastAsia"/>
                <w:szCs w:val="21"/>
              </w:rPr>
              <w:t>杀毒软件服务器</w:t>
            </w:r>
          </w:p>
        </w:tc>
        <w:tc>
          <w:tcPr>
            <w:tcW w:w="846" w:type="dxa"/>
            <w:vAlign w:val="center"/>
          </w:tcPr>
          <w:p>
            <w:pPr>
              <w:widowControl/>
              <w:rPr>
                <w:rFonts w:ascii="宋体" w:cs="宋体"/>
                <w:kern w:val="0"/>
                <w:sz w:val="20"/>
                <w:szCs w:val="20"/>
                <w:highlight w:val="yellow"/>
              </w:rPr>
            </w:pPr>
            <w:r>
              <w:rPr>
                <w:rFonts w:hint="eastAsia" w:cs="仿宋_GB2312" w:asciiTheme="majorEastAsia" w:hAnsiTheme="majorEastAsia" w:eastAsiaTheme="majorEastAsia"/>
                <w:szCs w:val="21"/>
              </w:rPr>
              <w:t>浪潮、曙光、华为</w:t>
            </w:r>
          </w:p>
        </w:tc>
        <w:tc>
          <w:tcPr>
            <w:tcW w:w="4932" w:type="dxa"/>
          </w:tcPr>
          <w:p>
            <w:pPr>
              <w:spacing w:line="300" w:lineRule="exact"/>
              <w:rPr>
                <w:rFonts w:cs="仿宋_GB2312" w:asciiTheme="majorEastAsia" w:hAnsiTheme="majorEastAsia" w:eastAsiaTheme="majorEastAsia"/>
                <w:spacing w:val="-6"/>
                <w:kern w:val="0"/>
                <w:sz w:val="18"/>
                <w:szCs w:val="18"/>
              </w:rPr>
            </w:pPr>
            <w:r>
              <w:rPr>
                <w:rFonts w:hint="eastAsia" w:cs="仿宋_GB2312" w:asciiTheme="majorEastAsia" w:hAnsiTheme="majorEastAsia" w:eastAsiaTheme="majorEastAsia"/>
                <w:spacing w:val="-10"/>
                <w:sz w:val="18"/>
                <w:szCs w:val="18"/>
              </w:rPr>
              <w:t>机架2U，带导轨；英特尔® 至强® 处理器E5-2600V4系列，英特尔®至强®E5-2603v4(1.7GHz/6c)/6.4GT/15ML3*1；≥16G RDIMM,2133MT/s DDR4，不少于20个内存插槽，最高支持DDR4-2133内存，最大可扩展2.5TB内存（当使用单条容量128GB的内存时），</w:t>
            </w:r>
            <w:r>
              <w:rPr>
                <w:rFonts w:hint="eastAsia" w:cs="仿宋_GB2312" w:asciiTheme="majorEastAsia" w:hAnsiTheme="majorEastAsia" w:eastAsiaTheme="majorEastAsia"/>
                <w:spacing w:val="-6"/>
                <w:sz w:val="18"/>
                <w:szCs w:val="18"/>
              </w:rPr>
              <w:t>支持高级内存纠错、内存镜像、内存热备等高级功能；可选8通道SAS 6Gb及12Gb磁盘控制器，主板集成 RAID卡，支持RAID0/1/5；本次配置1TB SATA（企业级）*2，最大支持不少于26块2.5寸SATA/SAS接口硬盘；配置2个高性能千兆以太网控制器，双口千兆网卡（光纤接口含多模模块）*1，支持虚拟化加速、网络加速、负载均衡、冗余等高级功能，另外可支持FLOM技术，选择集成双千兆、双万兆等多种配置；集成5个USB3.0接口，2个VGA接口，1个串口；配置高效冗余热插拔电源；标配白金级，可选钛金级，支持PMbus功能，实现Node Manager 3.0功能；可选热插拔单电；集成≥16M显存显示控制器；热插拔风扇，支持N+1冗余；集成系统管理芯片，提供远程管理和远程诊断功能，支持IPMI1.5、IPMI2.0、WfM2.0、EMP，可选扩展KVM over IP，虚拟媒体等管理功能；可选LCD管理模块，提供本地可视化系统监控和故障诊断功能；支持操作系统安全加固模块；具有自主知识产权的国产安全服务器系统；符合信息安全等级保护三级标准，并提供涉密信息产品检测证书，提供自主知识产权软件注册权证书；提供自主产权的简体中文版智能备份还原软件，可实现一次进行多个磁盘或分区的备份；实现windows操作系统的本地及网络备份还原功能；支持USB移动硬盘、光盘备份设备；中国国家强制性产品认证证书（3C证书）；制造厂商具备IT服务管理体系认证（ISO20000）、信息安全管理体系认证（ISO27001）、国际质量管理体系认证（ISO9001）;国际环境管理体系认证（ISO14001）;厂家工程师3年7*24小时免费上门质保服务，投标时提供设备原厂商项目授权书</w:t>
            </w:r>
          </w:p>
        </w:tc>
        <w:tc>
          <w:tcPr>
            <w:tcW w:w="684" w:type="dxa"/>
            <w:vAlign w:val="center"/>
          </w:tcPr>
          <w:p>
            <w:pPr>
              <w:widowControl/>
              <w:jc w:val="center"/>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台</w:t>
            </w:r>
          </w:p>
        </w:tc>
        <w:tc>
          <w:tcPr>
            <w:tcW w:w="1028" w:type="dxa"/>
            <w:vAlign w:val="center"/>
          </w:tcPr>
          <w:p>
            <w:pPr>
              <w:widowControl/>
              <w:jc w:val="center"/>
              <w:rPr>
                <w:rFonts w:ascii="宋体" w:cs="宋体"/>
                <w:kern w:val="0"/>
                <w:sz w:val="20"/>
                <w:szCs w:val="20"/>
              </w:rPr>
            </w:pPr>
            <w:r>
              <w:rPr>
                <w:rFonts w:hint="eastAsia" w:ascii="宋体" w:hAnsi="宋体" w:cs="宋体"/>
                <w:kern w:val="0"/>
                <w:sz w:val="20"/>
                <w:szCs w:val="20"/>
              </w:rPr>
              <w:t xml:space="preserve"> 19400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498"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31" w:type="dxa"/>
            <w:vAlign w:val="center"/>
          </w:tcPr>
          <w:p>
            <w:pPr>
              <w:widowControl/>
              <w:rPr>
                <w:rFonts w:cs="仿宋_GB2312" w:asciiTheme="majorEastAsia" w:hAnsiTheme="majorEastAsia" w:eastAsiaTheme="majorEastAsia"/>
                <w:szCs w:val="21"/>
              </w:rPr>
            </w:pPr>
            <w:r>
              <w:rPr>
                <w:rFonts w:hint="eastAsia" w:cs="仿宋_GB2312" w:asciiTheme="majorEastAsia" w:hAnsiTheme="majorEastAsia" w:eastAsiaTheme="majorEastAsia"/>
                <w:szCs w:val="21"/>
              </w:rPr>
              <w:t>彩色打印机</w:t>
            </w:r>
          </w:p>
        </w:tc>
        <w:tc>
          <w:tcPr>
            <w:tcW w:w="846" w:type="dxa"/>
            <w:vAlign w:val="center"/>
          </w:tcPr>
          <w:p>
            <w:pPr>
              <w:widowControl/>
              <w:spacing w:line="240" w:lineRule="exact"/>
              <w:rPr>
                <w:rFonts w:cs="仿宋_GB2312" w:asciiTheme="majorEastAsia" w:hAnsiTheme="majorEastAsia" w:eastAsiaTheme="majorEastAsia"/>
                <w:szCs w:val="21"/>
                <w:highlight w:val="yellow"/>
              </w:rPr>
            </w:pPr>
            <w:r>
              <w:rPr>
                <w:rFonts w:hint="eastAsia" w:cs="仿宋_GB2312" w:asciiTheme="majorEastAsia" w:hAnsiTheme="majorEastAsia" w:eastAsiaTheme="majorEastAsia"/>
                <w:szCs w:val="21"/>
              </w:rPr>
              <w:t>柯尼卡美能达C368；震旦C455；佳能C3525</w:t>
            </w:r>
          </w:p>
        </w:tc>
        <w:tc>
          <w:tcPr>
            <w:tcW w:w="4932" w:type="dxa"/>
          </w:tcPr>
          <w:p>
            <w:pPr>
              <w:spacing w:line="300" w:lineRule="exact"/>
              <w:rPr>
                <w:rFonts w:cs="仿宋_GB2312" w:asciiTheme="majorEastAsia" w:hAnsiTheme="majorEastAsia" w:eastAsiaTheme="majorEastAsia"/>
                <w:spacing w:val="-6"/>
                <w:sz w:val="18"/>
                <w:szCs w:val="18"/>
              </w:rPr>
            </w:pPr>
            <w:r>
              <w:rPr>
                <w:rFonts w:hint="eastAsia" w:cs="仿宋_GB2312" w:asciiTheme="majorEastAsia" w:hAnsiTheme="majorEastAsia" w:eastAsiaTheme="majorEastAsia"/>
                <w:spacing w:val="-6"/>
                <w:sz w:val="18"/>
                <w:szCs w:val="18"/>
              </w:rPr>
              <w:t>A3 /彩色多功能复合机；基本配置：DF-629双面自动输稿器；9英寸超大触摸屏；内存容量2G、硬盘容量250G；连续复印1-9999页；打印分辨率1800dpi*600dpi；纸盒容量500页*2个纸盒+手送（100页）； 网络打印、双面打印、网络彩色扫描，e-mail扫描； 黑白/彩色36页/分钟；整机设计寿命200万张；含原厂机柜。</w:t>
            </w:r>
          </w:p>
        </w:tc>
        <w:tc>
          <w:tcPr>
            <w:tcW w:w="684" w:type="dxa"/>
            <w:vAlign w:val="center"/>
          </w:tcPr>
          <w:p>
            <w:pPr>
              <w:widowControl/>
              <w:jc w:val="center"/>
              <w:rPr>
                <w:rFonts w:ascii="宋体" w:hAnsi="宋体" w:cs="宋体"/>
                <w:kern w:val="0"/>
                <w:sz w:val="20"/>
                <w:szCs w:val="20"/>
              </w:rPr>
            </w:pPr>
            <w:r>
              <w:rPr>
                <w:rFonts w:hint="eastAsia" w:ascii="宋体" w:hAnsi="宋体" w:cs="宋体"/>
                <w:kern w:val="0"/>
                <w:sz w:val="20"/>
                <w:szCs w:val="20"/>
              </w:rPr>
              <w:t>1台</w:t>
            </w:r>
          </w:p>
        </w:tc>
        <w:tc>
          <w:tcPr>
            <w:tcW w:w="1028"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39500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819" w:type="dxa"/>
            <w:gridSpan w:val="6"/>
            <w:vAlign w:val="center"/>
          </w:tcPr>
          <w:p>
            <w:pPr>
              <w:widowControl/>
              <w:jc w:val="left"/>
              <w:rPr>
                <w:rFonts w:hint="eastAsia" w:ascii="宋体" w:hAnsi="宋体" w:cs="宋体"/>
                <w:b/>
                <w:bCs/>
                <w:kern w:val="0"/>
                <w:szCs w:val="21"/>
              </w:rPr>
            </w:pPr>
            <w:r>
              <w:rPr>
                <w:rFonts w:hint="eastAsia" w:ascii="宋体" w:hAnsi="宋体" w:cs="宋体"/>
                <w:b/>
                <w:bCs/>
                <w:kern w:val="0"/>
                <w:szCs w:val="21"/>
              </w:rPr>
              <w:t>备注：</w:t>
            </w:r>
          </w:p>
          <w:p>
            <w:pPr>
              <w:widowControl/>
              <w:jc w:val="left"/>
              <w:rPr>
                <w:rFonts w:hint="eastAsia" w:ascii="宋体" w:hAnsi="宋体" w:cs="宋体"/>
                <w:spacing w:val="-6"/>
                <w:kern w:val="0"/>
                <w:szCs w:val="21"/>
              </w:rPr>
            </w:pPr>
            <w:r>
              <w:rPr>
                <w:rFonts w:hint="eastAsia" w:ascii="宋体" w:hAnsi="宋体" w:cs="宋体"/>
                <w:spacing w:val="-6"/>
                <w:kern w:val="0"/>
                <w:szCs w:val="21"/>
              </w:rPr>
              <w:t>1、项目中的建议品牌，只是建议所采购产品（设备）的档次。报价供应商如拟投产品不在推荐品牌之列的，报价品牌的技术参数不得低于推荐的品牌，同时报价供应商应当在递交报价文件3日前向采购单位提供货物的技术资料、相关证明材料及相关单位的成功使用案例，采购单位将组织进行评审，当三分之二及以上评委认定，所投品牌档次等于或高于建议品牌档次的，将以补充通知的形式在南通市公共交易资源网予以公布，所投品牌档次低于建议品牌档次的，则不予受理。报价文件中报价品牌为非推荐品牌且未在规定时间内经采购单位评审通过以补充通知形式发布的，将被视作无效报价；</w:t>
            </w:r>
          </w:p>
          <w:p>
            <w:pPr>
              <w:widowControl/>
              <w:jc w:val="left"/>
              <w:rPr>
                <w:rFonts w:hint="eastAsia" w:ascii="宋体" w:hAnsi="宋体" w:cs="宋体"/>
                <w:spacing w:val="-6"/>
                <w:kern w:val="0"/>
                <w:szCs w:val="21"/>
              </w:rPr>
            </w:pPr>
            <w:r>
              <w:rPr>
                <w:rFonts w:hint="eastAsia" w:ascii="宋体" w:hAnsi="宋体" w:cs="宋体"/>
                <w:spacing w:val="-6"/>
                <w:kern w:val="0"/>
                <w:szCs w:val="21"/>
              </w:rPr>
              <w:t>2、所有设备质保期限为三年上门服务；</w:t>
            </w:r>
          </w:p>
          <w:p>
            <w:pPr>
              <w:widowControl/>
              <w:jc w:val="left"/>
              <w:rPr>
                <w:rFonts w:hint="eastAsia" w:ascii="宋体" w:hAnsi="宋体" w:cs="宋体"/>
                <w:spacing w:val="-6"/>
                <w:kern w:val="0"/>
                <w:szCs w:val="21"/>
              </w:rPr>
            </w:pPr>
            <w:r>
              <w:rPr>
                <w:rFonts w:hint="eastAsia" w:ascii="宋体" w:hAnsi="宋体" w:cs="宋体"/>
                <w:spacing w:val="-6"/>
                <w:kern w:val="0"/>
                <w:szCs w:val="21"/>
              </w:rPr>
              <w:t>3、同一设备在保修期内发生相同故障二次以上（含二次）的，更换新产品；</w:t>
            </w:r>
          </w:p>
          <w:p>
            <w:pPr>
              <w:widowControl/>
              <w:jc w:val="left"/>
              <w:rPr>
                <w:rFonts w:hint="eastAsia" w:ascii="宋体" w:hAnsi="宋体" w:cs="宋体"/>
                <w:spacing w:val="-6"/>
                <w:kern w:val="0"/>
                <w:szCs w:val="21"/>
              </w:rPr>
            </w:pPr>
            <w:r>
              <w:rPr>
                <w:rFonts w:hint="eastAsia" w:ascii="宋体" w:hAnsi="宋体" w:cs="宋体"/>
                <w:spacing w:val="-6"/>
                <w:kern w:val="0"/>
                <w:szCs w:val="21"/>
              </w:rPr>
              <w:t>4、以上所有技术参数为基本要求，具体应以当前市场主流为准，不得以任何形式弄虚作假或作简配处理；</w:t>
            </w:r>
          </w:p>
          <w:p>
            <w:pPr>
              <w:widowControl/>
              <w:jc w:val="left"/>
              <w:rPr>
                <w:rFonts w:ascii="宋体" w:hAnsi="宋体" w:cs="宋体"/>
                <w:spacing w:val="-6"/>
                <w:kern w:val="0"/>
                <w:szCs w:val="21"/>
              </w:rPr>
            </w:pPr>
            <w:r>
              <w:rPr>
                <w:rFonts w:hint="eastAsia" w:ascii="宋体" w:hAnsi="宋体" w:cs="宋体"/>
                <w:spacing w:val="-6"/>
                <w:kern w:val="0"/>
                <w:szCs w:val="21"/>
              </w:rPr>
              <w:t>5、投标人提供产品时需提供原厂质保函及三年质量承诺书。</w:t>
            </w:r>
          </w:p>
          <w:p>
            <w:pPr>
              <w:widowControl/>
              <w:jc w:val="left"/>
              <w:rPr>
                <w:rFonts w:ascii="宋体" w:hAnsi="宋体" w:cs="宋体"/>
                <w:kern w:val="0"/>
                <w:sz w:val="20"/>
                <w:szCs w:val="20"/>
              </w:rPr>
            </w:pPr>
            <w:r>
              <w:rPr>
                <w:rFonts w:hint="eastAsia" w:ascii="宋体" w:hAnsi="宋体" w:cs="宋体"/>
                <w:spacing w:val="-6"/>
                <w:kern w:val="0"/>
                <w:szCs w:val="21"/>
              </w:rPr>
              <w:t xml:space="preserve"> </w:t>
            </w:r>
          </w:p>
        </w:tc>
      </w:tr>
    </w:tbl>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说明：</w:t>
      </w:r>
    </w:p>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u w:val="single"/>
          <w:shd w:val="clear" w:color="auto" w:fill="FFFFFF"/>
        </w:rPr>
        <w:t>一、本项目财政预算总价最高限价为人民币伍万捌仟玖佰元整（</w:t>
      </w:r>
      <w:r>
        <w:rPr>
          <w:rFonts w:cs="Times New Roman" w:asciiTheme="majorEastAsia" w:hAnsiTheme="majorEastAsia" w:eastAsiaTheme="majorEastAsia"/>
          <w:b/>
          <w:color w:val="333333"/>
          <w:kern w:val="0"/>
          <w:sz w:val="24"/>
          <w:u w:val="single"/>
          <w:shd w:val="clear" w:color="auto" w:fill="FFFFFF"/>
        </w:rPr>
        <w:t>¥</w:t>
      </w:r>
      <w:r>
        <w:rPr>
          <w:rFonts w:hint="eastAsia" w:cs="仿宋" w:asciiTheme="majorEastAsia" w:hAnsiTheme="majorEastAsia" w:eastAsiaTheme="majorEastAsia"/>
          <w:b/>
          <w:color w:val="333333"/>
          <w:kern w:val="0"/>
          <w:sz w:val="24"/>
          <w:u w:val="single"/>
          <w:shd w:val="clear" w:color="auto" w:fill="FFFFFF"/>
        </w:rPr>
        <w:t>：58900元），总价和单价的报价超过最高限价总价和单价的为无效报价。</w:t>
      </w:r>
    </w:p>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二、供应商资格要求</w:t>
      </w:r>
      <w:r>
        <w:rPr>
          <w:rFonts w:hint="eastAsia" w:cs="仿宋" w:asciiTheme="majorEastAsia" w:hAnsiTheme="majorEastAsia" w:eastAsiaTheme="majorEastAsia"/>
          <w:color w:val="333333"/>
          <w:kern w:val="0"/>
          <w:sz w:val="24"/>
          <w:shd w:val="clear" w:color="auto" w:fill="FFFFFF"/>
        </w:rPr>
        <w:t>：</w:t>
      </w:r>
    </w:p>
    <w:p>
      <w:pPr>
        <w:widowControl/>
        <w:spacing w:line="42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1、符合《中华人民共和国政府采购法》第二十二条对供应商的资格要求；</w:t>
      </w:r>
    </w:p>
    <w:p>
      <w:pPr>
        <w:widowControl/>
        <w:spacing w:line="42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2、供应商具有独立的企业法人资格，营业执照中必须具有相应货物生产或销售的经营范围；</w:t>
      </w:r>
    </w:p>
    <w:p>
      <w:pPr>
        <w:widowControl/>
        <w:spacing w:line="42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3、供应商在南通地区设有完善的售后服务机构，提供房屋租赁合同或房产证明；</w:t>
      </w:r>
    </w:p>
    <w:p>
      <w:pPr>
        <w:widowControl/>
        <w:spacing w:line="42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4、本项目招标不接受联合体投标。</w:t>
      </w:r>
    </w:p>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三、报价注意事项：</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1、供应商应按照本询价公告的要求编制报价文件，报价文件应对本询价公告提出的要求和条件作出实质性响应。否则，按照不响应处理。</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2、本次询价投标报价为一次报定价。询价响应成交后，报价即为成交价，除非因特殊原因并经买卖双方协商同意，成交的供应商不得再要求追加任何费用。同时，除非合同条款中另有规定，否则成交人的成交价在合同实施期间不因市场变化因素而变动。请各投标人在报价时充分考虑各种因素。报价包含相关附件辅材、货物运输、搬运、现场安装、集成、调试、使用、培训、硬件检测、运输保险、税金、售后质保服务、工期较长及三年的设备运营维护费等所有与本项目相关的费用，本项目所有费用一次性包定，不再追加。</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3、无论本文件是否以文字形式规定，报价供应商应具备足够的专业知识和能力判定本项目所需的一切材料、服务、检测等各种未预见费用，采购方不接受任何可选择的报价，成交供应商也不得在服务期间提出任何增加费用的要求，更不得降低服务质量。投标人应详细阅读询价公告的全部内容，投标人对询价公告有疑问或异议的，请在递交报价文件3日前以书面形式（加盖单位公章）递交至采购单位。</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有关技术及需求问题，请与采购单位联系</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采购单位:启东市人民检察院</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采购单位联系人: 陈荣</w:t>
      </w:r>
    </w:p>
    <w:p>
      <w:pPr>
        <w:widowControl/>
        <w:spacing w:line="420" w:lineRule="exact"/>
        <w:ind w:firstLine="480" w:firstLineChars="200"/>
        <w:jc w:val="left"/>
        <w:rPr>
          <w:rFonts w:cs="仿宋" w:asciiTheme="majorEastAsia" w:hAnsiTheme="majorEastAsia" w:eastAsiaTheme="majorEastAsia"/>
          <w:b/>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联系电话: 0513-83359907</w:t>
      </w:r>
    </w:p>
    <w:p>
      <w:pPr>
        <w:widowControl/>
        <w:spacing w:line="420" w:lineRule="exact"/>
        <w:ind w:firstLine="482"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4、报价文件构成</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（1）合法有效的营业执照副本复印件，营业执照中必须具有相应货物生产或销售的经营范围；（必需提供原件核实）；</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（2）供应商在南通地区设有完善的售后服务机构，提供房屋租赁合同或房产证明复印件（必需提供原件核实）；</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（3）法定代表人身份证明书（按照附件一格式填写）；</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（4）法人授权委托书及被授权人身份证复印件（原件备查，法定代表人亲自参加的，无需提供被授权人身份证复印件，按照附件二格式填写）；</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（5）法定代表人身份证复印件（无论法定代表人是否亲自参加磋商，均须提供本项材料，法定代表人亲自参加时提供原件备查）；</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（6）报价承诺书（按照附件三格式填写）；</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（7）</w:t>
      </w:r>
      <w:r>
        <w:rPr>
          <w:rFonts w:hint="eastAsia" w:cs="仿宋" w:asciiTheme="majorEastAsia" w:hAnsiTheme="majorEastAsia" w:eastAsiaTheme="majorEastAsia"/>
          <w:kern w:val="0"/>
          <w:sz w:val="24"/>
          <w:shd w:val="clear" w:color="auto" w:fill="FFFFFF"/>
        </w:rPr>
        <w:t>质保承诺书（按照附件四格式填写）</w:t>
      </w:r>
      <w:r>
        <w:rPr>
          <w:rFonts w:hint="eastAsia" w:cs="仿宋" w:asciiTheme="majorEastAsia" w:hAnsiTheme="majorEastAsia" w:eastAsiaTheme="majorEastAsia"/>
          <w:color w:val="333333"/>
          <w:kern w:val="0"/>
          <w:sz w:val="24"/>
          <w:shd w:val="clear" w:color="auto" w:fill="FFFFFF"/>
        </w:rPr>
        <w:t>；</w:t>
      </w:r>
    </w:p>
    <w:p>
      <w:pPr>
        <w:widowControl/>
        <w:spacing w:line="420" w:lineRule="exact"/>
        <w:ind w:firstLine="480" w:firstLineChars="200"/>
        <w:jc w:val="left"/>
        <w:rPr>
          <w:rFonts w:cs="仿宋" w:asciiTheme="majorEastAsia" w:hAnsiTheme="majorEastAsia" w:eastAsiaTheme="majorEastAsia"/>
          <w:kern w:val="0"/>
          <w:sz w:val="24"/>
          <w:shd w:val="clear" w:color="auto" w:fill="FFFFFF"/>
        </w:rPr>
      </w:pPr>
      <w:r>
        <w:rPr>
          <w:rFonts w:hint="eastAsia" w:cs="仿宋" w:asciiTheme="majorEastAsia" w:hAnsiTheme="majorEastAsia" w:eastAsiaTheme="majorEastAsia"/>
          <w:kern w:val="0"/>
          <w:sz w:val="24"/>
          <w:shd w:val="clear" w:color="auto" w:fill="FFFFFF"/>
        </w:rPr>
        <w:t>（8）报价表：必须按提供的样表格式填写（附件五）。如有其他情况需要说明的，请在备注栏中注明。</w:t>
      </w:r>
      <w:r>
        <w:rPr>
          <w:rFonts w:hint="eastAsia" w:cs="仿宋" w:asciiTheme="majorEastAsia" w:hAnsiTheme="majorEastAsia" w:eastAsiaTheme="majorEastAsia"/>
          <w:b/>
          <w:kern w:val="0"/>
          <w:sz w:val="24"/>
          <w:shd w:val="clear" w:color="auto" w:fill="FFFFFF"/>
        </w:rPr>
        <w:t>所有涉及报价的页面均须加盖报价单位公章，否则视为无效报价。</w:t>
      </w:r>
    </w:p>
    <w:p>
      <w:pPr>
        <w:widowControl/>
        <w:shd w:val="clear" w:color="auto" w:fill="FFFFFF"/>
        <w:adjustRightInd w:val="0"/>
        <w:snapToGrid w:val="0"/>
        <w:spacing w:before="100" w:after="100"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kern w:val="0"/>
          <w:sz w:val="24"/>
          <w:shd w:val="clear" w:color="auto" w:fill="FFFFFF"/>
        </w:rPr>
        <w:t>（</w:t>
      </w:r>
      <w:r>
        <w:rPr>
          <w:rFonts w:hint="eastAsia" w:cs="仿宋" w:asciiTheme="majorEastAsia" w:hAnsiTheme="majorEastAsia" w:eastAsiaTheme="majorEastAsia"/>
          <w:b/>
          <w:kern w:val="0"/>
          <w:sz w:val="24"/>
          <w:u w:val="single"/>
          <w:shd w:val="clear" w:color="auto" w:fill="FFFFFF"/>
        </w:rPr>
        <w:t>报价文件正、副本各一份，报价文件中必须包含上述要求提供的所有材料，所有复印件必须加盖单位公章，要求原件核查的材料必须携带原件，原件存原件包中备查；如原件未携带或原件与复印件内容不一致，否则以未实质性响应询价文件处理。报价文件装订成册并密封，密封袋上标明：项目名称、报价单位名称，并在封口处加盖企业公章，否则视为无效报价）。</w:t>
      </w:r>
    </w:p>
    <w:p>
      <w:pPr>
        <w:widowControl/>
        <w:spacing w:line="420" w:lineRule="exact"/>
        <w:ind w:firstLine="482"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5、报价文件递交</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报价文</w:t>
      </w:r>
      <w:r>
        <w:rPr>
          <w:rFonts w:hint="eastAsia" w:cs="仿宋" w:asciiTheme="majorEastAsia" w:hAnsiTheme="majorEastAsia" w:eastAsiaTheme="majorEastAsia"/>
          <w:kern w:val="0"/>
          <w:sz w:val="24"/>
          <w:shd w:val="clear" w:color="auto" w:fill="FFFFFF"/>
        </w:rPr>
        <w:t>件请于</w:t>
      </w:r>
      <w:r>
        <w:rPr>
          <w:rFonts w:hint="eastAsia" w:cs="仿宋" w:asciiTheme="majorEastAsia" w:hAnsiTheme="majorEastAsia" w:eastAsiaTheme="majorEastAsia"/>
          <w:b/>
          <w:kern w:val="0"/>
          <w:sz w:val="24"/>
          <w:u w:val="single"/>
          <w:shd w:val="clear" w:color="auto" w:fill="FFFFFF"/>
        </w:rPr>
        <w:t>2019年8月5日上午8：30-9：00</w:t>
      </w:r>
      <w:r>
        <w:rPr>
          <w:rFonts w:hint="eastAsia" w:cs="仿宋" w:asciiTheme="majorEastAsia" w:hAnsiTheme="majorEastAsia" w:eastAsiaTheme="majorEastAsia"/>
          <w:kern w:val="0"/>
          <w:sz w:val="24"/>
          <w:shd w:val="clear" w:color="auto" w:fill="FFFFFF"/>
        </w:rPr>
        <w:t>密封</w:t>
      </w:r>
      <w:r>
        <w:rPr>
          <w:rFonts w:hint="eastAsia" w:cs="仿宋" w:asciiTheme="majorEastAsia" w:hAnsiTheme="majorEastAsia" w:eastAsiaTheme="majorEastAsia"/>
          <w:color w:val="333333"/>
          <w:kern w:val="0"/>
          <w:sz w:val="24"/>
          <w:shd w:val="clear" w:color="auto" w:fill="FFFFFF"/>
        </w:rPr>
        <w:t>送至启东市人民检察院三楼会议室</w:t>
      </w:r>
      <w:r>
        <w:rPr>
          <w:rFonts w:hint="eastAsia" w:cs="仿宋" w:asciiTheme="majorEastAsia" w:hAnsiTheme="majorEastAsia" w:eastAsiaTheme="majorEastAsia"/>
          <w:kern w:val="0"/>
          <w:sz w:val="24"/>
          <w:shd w:val="clear" w:color="auto" w:fill="FFFFFF"/>
        </w:rPr>
        <w:t>进行登记（只接收直接送达），登记的同时请递交报价保证金（现金形式），逾时则</w:t>
      </w:r>
      <w:r>
        <w:rPr>
          <w:rFonts w:hint="eastAsia" w:cs="仿宋" w:asciiTheme="majorEastAsia" w:hAnsiTheme="majorEastAsia" w:eastAsiaTheme="majorEastAsia"/>
          <w:color w:val="333333"/>
          <w:kern w:val="0"/>
          <w:sz w:val="24"/>
          <w:shd w:val="clear" w:color="auto" w:fill="FFFFFF"/>
        </w:rPr>
        <w:t>不予受理。</w:t>
      </w:r>
    </w:p>
    <w:p>
      <w:pPr>
        <w:widowControl/>
        <w:spacing w:line="420" w:lineRule="exact"/>
        <w:ind w:firstLine="482"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b/>
          <w:bCs/>
          <w:color w:val="333333"/>
          <w:kern w:val="0"/>
          <w:sz w:val="24"/>
          <w:shd w:val="clear" w:color="auto" w:fill="FFFFFF"/>
        </w:rPr>
        <w:t>6、</w:t>
      </w:r>
      <w:r>
        <w:rPr>
          <w:rFonts w:hint="eastAsia" w:cs="仿宋" w:asciiTheme="majorEastAsia" w:hAnsiTheme="majorEastAsia" w:eastAsiaTheme="majorEastAsia"/>
          <w:b/>
          <w:color w:val="333333"/>
          <w:kern w:val="0"/>
          <w:sz w:val="24"/>
          <w:shd w:val="clear" w:color="auto" w:fill="FFFFFF"/>
        </w:rPr>
        <w:t>报价保证金</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（1）报价供应商必须交纳</w:t>
      </w:r>
      <w:r>
        <w:rPr>
          <w:rFonts w:hint="eastAsia" w:cs="仿宋" w:asciiTheme="majorEastAsia" w:hAnsiTheme="majorEastAsia" w:eastAsiaTheme="majorEastAsia"/>
          <w:color w:val="333333"/>
          <w:kern w:val="0"/>
          <w:sz w:val="24"/>
          <w:u w:val="single"/>
          <w:shd w:val="clear" w:color="auto" w:fill="FFFFFF"/>
        </w:rPr>
        <w:t>人民币 1000元</w:t>
      </w:r>
      <w:r>
        <w:rPr>
          <w:rFonts w:hint="eastAsia" w:cs="仿宋" w:asciiTheme="majorEastAsia" w:hAnsiTheme="majorEastAsia" w:eastAsiaTheme="majorEastAsia"/>
          <w:color w:val="333333"/>
          <w:kern w:val="0"/>
          <w:sz w:val="24"/>
          <w:shd w:val="clear" w:color="auto" w:fill="FFFFFF"/>
        </w:rPr>
        <w:t>的报价保证金。报价保证金必须以现金形式提交（其他形式概不接收），在递交报价文件的同时交至启东市人民检察院三楼会议室工作人员处（请将保证金密封存在信封内，并标明报价单位名称）。不同时递交本项目的保证金，视为放弃投标资格。</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（2）报价供应商在投标时提供虚假资料的，经查证核实后报价单位所交的报价保证金将不予退还。</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（3）报价供应商用虚假资料获得成交资格，经查实取消成交资格，其报价保证金将不予退还。</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（4）报价供应商在投标截止时间后，要求撤销投标的，报价保证金将不予退还。</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（5）报价供应商如有串标、围标行为的，经查证核实后报价保证金将不予退还；成交候选人或成交供应商如有串标、围标行为的，经查实后取消其成交资格，同时保证金不予退还。</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（6）未成交的报价供应商的报价保证金将按规定予以退还（不计息）。</w:t>
      </w:r>
    </w:p>
    <w:p>
      <w:pPr>
        <w:widowControl/>
        <w:spacing w:line="420" w:lineRule="exact"/>
        <w:ind w:firstLine="480" w:firstLineChars="200"/>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（7）被确定为成交的候选人，如成交无异议，报价保证金在签订合同后一个月内返还(不计息)。</w:t>
      </w:r>
    </w:p>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四、商务部分要求：</w:t>
      </w:r>
    </w:p>
    <w:p>
      <w:pPr>
        <w:widowControl/>
        <w:spacing w:line="420" w:lineRule="exact"/>
        <w:rPr>
          <w:rFonts w:cs="仿宋" w:asciiTheme="majorEastAsia" w:hAnsiTheme="majorEastAsia" w:eastAsiaTheme="majorEastAsia"/>
          <w:kern w:val="0"/>
          <w:sz w:val="24"/>
          <w:shd w:val="clear" w:color="auto" w:fill="FFFFFF"/>
        </w:rPr>
      </w:pPr>
      <w:r>
        <w:rPr>
          <w:rFonts w:hint="eastAsia" w:cs="仿宋" w:asciiTheme="majorEastAsia" w:hAnsiTheme="majorEastAsia" w:eastAsiaTheme="majorEastAsia"/>
          <w:kern w:val="0"/>
          <w:sz w:val="24"/>
          <w:shd w:val="clear" w:color="auto" w:fill="FFFFFF"/>
        </w:rPr>
        <w:t xml:space="preserve">     </w:t>
      </w:r>
      <w:r>
        <w:rPr>
          <w:rFonts w:cs="仿宋" w:asciiTheme="majorEastAsia" w:hAnsiTheme="majorEastAsia" w:eastAsiaTheme="majorEastAsia"/>
          <w:kern w:val="0"/>
          <w:sz w:val="24"/>
          <w:shd w:val="clear" w:color="auto" w:fill="FFFFFF"/>
        </w:rPr>
        <w:t>1.</w:t>
      </w:r>
      <w:r>
        <w:rPr>
          <w:rFonts w:hint="eastAsia" w:cs="仿宋" w:asciiTheme="majorEastAsia" w:hAnsiTheme="majorEastAsia" w:eastAsiaTheme="majorEastAsia"/>
          <w:kern w:val="0"/>
          <w:sz w:val="24"/>
          <w:shd w:val="clear" w:color="auto" w:fill="FFFFFF"/>
        </w:rPr>
        <w:t>质量要求：供应商须提供符合采购需求、符合国家质量检测标准的原装合格产品（提供相关证明材料、随机资料及相关软件资源）。</w:t>
      </w:r>
    </w:p>
    <w:p>
      <w:pPr>
        <w:widowControl/>
        <w:spacing w:line="420" w:lineRule="exact"/>
        <w:ind w:firstLine="560"/>
        <w:jc w:val="left"/>
        <w:rPr>
          <w:rFonts w:cs="仿宋" w:asciiTheme="majorEastAsia" w:hAnsiTheme="majorEastAsia" w:eastAsiaTheme="majorEastAsia"/>
          <w:kern w:val="0"/>
          <w:sz w:val="24"/>
          <w:shd w:val="clear" w:color="auto" w:fill="FFFFFF"/>
        </w:rPr>
      </w:pPr>
      <w:r>
        <w:rPr>
          <w:rFonts w:cs="仿宋" w:asciiTheme="majorEastAsia" w:hAnsiTheme="majorEastAsia" w:eastAsiaTheme="majorEastAsia"/>
          <w:kern w:val="0"/>
          <w:sz w:val="24"/>
          <w:shd w:val="clear" w:color="auto" w:fill="FFFFFF"/>
        </w:rPr>
        <w:t>2.</w:t>
      </w:r>
      <w:r>
        <w:rPr>
          <w:rFonts w:hint="eastAsia" w:cs="仿宋" w:asciiTheme="majorEastAsia" w:hAnsiTheme="majorEastAsia" w:eastAsiaTheme="majorEastAsia"/>
          <w:kern w:val="0"/>
          <w:sz w:val="24"/>
          <w:shd w:val="clear" w:color="auto" w:fill="FFFFFF"/>
        </w:rPr>
        <w:t>质保承诺：成交供应商签订合同前须向采购单位提供货物原厂叁年质保承诺函原件，否则视为验收不合格，终止合同，扣除履约保证金。在质保期内，设备出现任何硬件或软件故障无法正常使用，供应商必须无条件给予维修并承担所有维修费用。在免费质保期内，供应商在接到用户单位电话通知后，必须在</w:t>
      </w:r>
      <w:r>
        <w:rPr>
          <w:rFonts w:cs="仿宋" w:asciiTheme="majorEastAsia" w:hAnsiTheme="majorEastAsia" w:eastAsiaTheme="majorEastAsia"/>
          <w:kern w:val="0"/>
          <w:sz w:val="24"/>
          <w:shd w:val="clear" w:color="auto" w:fill="FFFFFF"/>
        </w:rPr>
        <w:t>2</w:t>
      </w:r>
      <w:r>
        <w:rPr>
          <w:rFonts w:hint="eastAsia" w:cs="仿宋" w:asciiTheme="majorEastAsia" w:hAnsiTheme="majorEastAsia" w:eastAsiaTheme="majorEastAsia"/>
          <w:kern w:val="0"/>
          <w:sz w:val="24"/>
          <w:shd w:val="clear" w:color="auto" w:fill="FFFFFF"/>
        </w:rPr>
        <w:t>小时之内上门服务，并在</w:t>
      </w:r>
      <w:r>
        <w:rPr>
          <w:rFonts w:cs="仿宋" w:asciiTheme="majorEastAsia" w:hAnsiTheme="majorEastAsia" w:eastAsiaTheme="majorEastAsia"/>
          <w:kern w:val="0"/>
          <w:sz w:val="24"/>
          <w:shd w:val="clear" w:color="auto" w:fill="FFFFFF"/>
        </w:rPr>
        <w:t>4</w:t>
      </w:r>
      <w:r>
        <w:rPr>
          <w:rFonts w:hint="eastAsia" w:cs="仿宋" w:asciiTheme="majorEastAsia" w:hAnsiTheme="majorEastAsia" w:eastAsiaTheme="majorEastAsia"/>
          <w:kern w:val="0"/>
          <w:sz w:val="24"/>
          <w:shd w:val="clear" w:color="auto" w:fill="FFFFFF"/>
        </w:rPr>
        <w:t>小时内负责修复。如需更换设备或送修，必须在</w:t>
      </w:r>
      <w:r>
        <w:rPr>
          <w:rFonts w:cs="仿宋" w:asciiTheme="majorEastAsia" w:hAnsiTheme="majorEastAsia" w:eastAsiaTheme="majorEastAsia"/>
          <w:kern w:val="0"/>
          <w:sz w:val="24"/>
          <w:shd w:val="clear" w:color="auto" w:fill="FFFFFF"/>
        </w:rPr>
        <w:t>12</w:t>
      </w:r>
      <w:r>
        <w:rPr>
          <w:rFonts w:hint="eastAsia" w:cs="仿宋" w:asciiTheme="majorEastAsia" w:hAnsiTheme="majorEastAsia" w:eastAsiaTheme="majorEastAsia"/>
          <w:kern w:val="0"/>
          <w:sz w:val="24"/>
          <w:shd w:val="clear" w:color="auto" w:fill="FFFFFF"/>
        </w:rPr>
        <w:t>小时内提供备用设备，并在</w:t>
      </w:r>
      <w:r>
        <w:rPr>
          <w:rFonts w:cs="仿宋" w:asciiTheme="majorEastAsia" w:hAnsiTheme="majorEastAsia" w:eastAsiaTheme="majorEastAsia"/>
          <w:kern w:val="0"/>
          <w:sz w:val="24"/>
          <w:shd w:val="clear" w:color="auto" w:fill="FFFFFF"/>
        </w:rPr>
        <w:t>10</w:t>
      </w:r>
      <w:r>
        <w:rPr>
          <w:rFonts w:hint="eastAsia" w:cs="仿宋" w:asciiTheme="majorEastAsia" w:hAnsiTheme="majorEastAsia" w:eastAsiaTheme="majorEastAsia"/>
          <w:kern w:val="0"/>
          <w:sz w:val="24"/>
          <w:shd w:val="clear" w:color="auto" w:fill="FFFFFF"/>
        </w:rPr>
        <w:t>个工作日内负责对送修设备维修完毕并将备用设备替换成正常设备。同一设备在保修期内发生相同故障二次以上（含二次）的，更换新产品。</w:t>
      </w:r>
    </w:p>
    <w:p>
      <w:pPr>
        <w:widowControl/>
        <w:spacing w:line="420" w:lineRule="exact"/>
        <w:ind w:firstLine="560"/>
        <w:jc w:val="left"/>
        <w:rPr>
          <w:rFonts w:cs="仿宋" w:asciiTheme="majorEastAsia" w:hAnsiTheme="majorEastAsia" w:eastAsiaTheme="majorEastAsia"/>
          <w:kern w:val="0"/>
          <w:sz w:val="24"/>
          <w:shd w:val="clear" w:color="auto" w:fill="FFFFFF"/>
        </w:rPr>
      </w:pPr>
      <w:r>
        <w:rPr>
          <w:rFonts w:cs="仿宋" w:asciiTheme="majorEastAsia" w:hAnsiTheme="majorEastAsia" w:eastAsiaTheme="majorEastAsia"/>
          <w:kern w:val="0"/>
          <w:sz w:val="24"/>
          <w:shd w:val="clear" w:color="auto" w:fill="FFFFFF"/>
        </w:rPr>
        <w:t>3.</w:t>
      </w:r>
      <w:r>
        <w:rPr>
          <w:rFonts w:hint="eastAsia" w:cs="仿宋" w:asciiTheme="majorEastAsia" w:hAnsiTheme="majorEastAsia" w:eastAsiaTheme="majorEastAsia"/>
          <w:kern w:val="0"/>
          <w:sz w:val="24"/>
          <w:shd w:val="clear" w:color="auto" w:fill="FFFFFF"/>
        </w:rPr>
        <w:t>交货时间：成交供应商须于接到供货安装通知书后的15天（日历日）内根据采购方项目进度要求送货并安装调试完毕，否则视作验收不合格，扣除履约保证金。</w:t>
      </w:r>
    </w:p>
    <w:p>
      <w:pPr>
        <w:widowControl/>
        <w:spacing w:line="420" w:lineRule="exact"/>
        <w:ind w:firstLine="548"/>
        <w:rPr>
          <w:rFonts w:cs="仿宋" w:asciiTheme="majorEastAsia" w:hAnsiTheme="majorEastAsia" w:eastAsiaTheme="majorEastAsia"/>
          <w:kern w:val="0"/>
          <w:sz w:val="24"/>
          <w:shd w:val="clear" w:color="auto" w:fill="FFFFFF"/>
        </w:rPr>
      </w:pPr>
      <w:r>
        <w:rPr>
          <w:rFonts w:cs="仿宋" w:asciiTheme="majorEastAsia" w:hAnsiTheme="majorEastAsia" w:eastAsiaTheme="majorEastAsia"/>
          <w:kern w:val="0"/>
          <w:sz w:val="24"/>
          <w:shd w:val="clear" w:color="auto" w:fill="FFFFFF"/>
        </w:rPr>
        <w:t>4.</w:t>
      </w:r>
      <w:r>
        <w:rPr>
          <w:rFonts w:hint="eastAsia" w:cs="仿宋" w:asciiTheme="majorEastAsia" w:hAnsiTheme="majorEastAsia" w:eastAsiaTheme="majorEastAsia"/>
          <w:kern w:val="0"/>
          <w:sz w:val="24"/>
          <w:shd w:val="clear" w:color="auto" w:fill="FFFFFF"/>
        </w:rPr>
        <w:t>交货、安装地点：启东市人民检察院。</w:t>
      </w:r>
    </w:p>
    <w:p>
      <w:pPr>
        <w:widowControl/>
        <w:spacing w:line="420" w:lineRule="exact"/>
        <w:ind w:firstLine="548"/>
        <w:rPr>
          <w:rFonts w:cs="仿宋" w:asciiTheme="majorEastAsia" w:hAnsiTheme="majorEastAsia" w:eastAsiaTheme="majorEastAsia"/>
          <w:color w:val="333333"/>
          <w:kern w:val="0"/>
          <w:sz w:val="24"/>
          <w:shd w:val="clear" w:color="auto" w:fill="FFFFFF"/>
        </w:rPr>
      </w:pPr>
      <w:r>
        <w:rPr>
          <w:rFonts w:cs="仿宋" w:asciiTheme="majorEastAsia" w:hAnsiTheme="majorEastAsia" w:eastAsiaTheme="majorEastAsia"/>
          <w:kern w:val="0"/>
          <w:sz w:val="24"/>
          <w:shd w:val="clear" w:color="auto" w:fill="FFFFFF"/>
        </w:rPr>
        <w:t>5.</w:t>
      </w:r>
      <w:r>
        <w:rPr>
          <w:rFonts w:hint="eastAsia" w:cs="仿宋" w:asciiTheme="majorEastAsia" w:hAnsiTheme="majorEastAsia" w:eastAsiaTheme="majorEastAsia"/>
          <w:kern w:val="0"/>
          <w:sz w:val="24"/>
          <w:shd w:val="clear" w:color="auto" w:fill="FFFFFF"/>
        </w:rPr>
        <w:t>履约保证金：</w:t>
      </w:r>
      <w:r>
        <w:rPr>
          <w:rFonts w:hint="eastAsia" w:cs="仿宋" w:asciiTheme="majorEastAsia" w:hAnsiTheme="majorEastAsia" w:eastAsiaTheme="majorEastAsia"/>
          <w:color w:val="333333"/>
          <w:kern w:val="0"/>
          <w:sz w:val="24"/>
          <w:shd w:val="clear" w:color="auto" w:fill="FFFFFF"/>
        </w:rPr>
        <w:t>被确定成交的供应商，必须在签订合同前向采购单位交纳履约保证金，</w:t>
      </w:r>
      <w:r>
        <w:rPr>
          <w:rFonts w:hint="eastAsia" w:cs="仿宋" w:asciiTheme="majorEastAsia" w:hAnsiTheme="majorEastAsia" w:eastAsiaTheme="majorEastAsia"/>
          <w:b/>
          <w:color w:val="333333"/>
          <w:kern w:val="0"/>
          <w:sz w:val="24"/>
          <w:shd w:val="clear" w:color="auto" w:fill="FFFFFF"/>
        </w:rPr>
        <w:t>履约保证金金额为成交金额的10％</w:t>
      </w:r>
      <w:r>
        <w:rPr>
          <w:rFonts w:hint="eastAsia" w:cs="仿宋" w:asciiTheme="majorEastAsia" w:hAnsiTheme="majorEastAsia" w:eastAsiaTheme="majorEastAsia"/>
          <w:color w:val="333333"/>
          <w:kern w:val="0"/>
          <w:sz w:val="24"/>
          <w:shd w:val="clear" w:color="auto" w:fill="FFFFFF"/>
        </w:rPr>
        <w:t>，在供应商供货、安装、调试完毕并经采购单位验收合格后一个月内返还(履约期间不计息)。</w:t>
      </w:r>
    </w:p>
    <w:p>
      <w:pPr>
        <w:autoSpaceDE w:val="0"/>
        <w:autoSpaceDN w:val="0"/>
        <w:spacing w:line="420" w:lineRule="exact"/>
        <w:ind w:firstLine="480" w:firstLineChars="200"/>
        <w:rPr>
          <w:rFonts w:cs="仿宋" w:asciiTheme="majorEastAsia" w:hAnsiTheme="majorEastAsia" w:eastAsiaTheme="majorEastAsia"/>
          <w:kern w:val="0"/>
          <w:sz w:val="24"/>
          <w:shd w:val="clear" w:color="auto" w:fill="FFFFFF"/>
        </w:rPr>
      </w:pPr>
      <w:r>
        <w:rPr>
          <w:rFonts w:cs="仿宋" w:asciiTheme="majorEastAsia" w:hAnsiTheme="majorEastAsia" w:eastAsiaTheme="majorEastAsia"/>
          <w:kern w:val="0"/>
          <w:sz w:val="24"/>
          <w:shd w:val="clear" w:color="auto" w:fill="FFFFFF"/>
        </w:rPr>
        <w:t>6</w:t>
      </w:r>
      <w:r>
        <w:rPr>
          <w:rFonts w:hint="eastAsia" w:cs="仿宋" w:asciiTheme="majorEastAsia" w:hAnsiTheme="majorEastAsia" w:eastAsiaTheme="majorEastAsia"/>
          <w:kern w:val="0"/>
          <w:sz w:val="24"/>
          <w:shd w:val="clear" w:color="auto" w:fill="FFFFFF"/>
        </w:rPr>
        <w:t>、验收要求：接到供应商提出验收申请后，在</w:t>
      </w:r>
      <w:r>
        <w:rPr>
          <w:rFonts w:cs="仿宋" w:asciiTheme="majorEastAsia" w:hAnsiTheme="majorEastAsia" w:eastAsiaTheme="majorEastAsia"/>
          <w:kern w:val="0"/>
          <w:sz w:val="24"/>
          <w:shd w:val="clear" w:color="auto" w:fill="FFFFFF"/>
        </w:rPr>
        <w:t>15</w:t>
      </w:r>
      <w:r>
        <w:rPr>
          <w:rFonts w:hint="eastAsia" w:cs="仿宋" w:asciiTheme="majorEastAsia" w:hAnsiTheme="majorEastAsia" w:eastAsiaTheme="majorEastAsia"/>
          <w:kern w:val="0"/>
          <w:sz w:val="24"/>
          <w:shd w:val="clear" w:color="auto" w:fill="FFFFFF"/>
        </w:rPr>
        <w:t>个工作日内由业主指定人员参与验收，并出具验收报告。</w:t>
      </w:r>
    </w:p>
    <w:p>
      <w:pPr>
        <w:widowControl/>
        <w:spacing w:line="420" w:lineRule="exac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五、合同的签订及注意事项：</w:t>
      </w:r>
    </w:p>
    <w:p>
      <w:pPr>
        <w:widowControl/>
        <w:spacing w:line="420" w:lineRule="exact"/>
        <w:ind w:firstLine="482" w:firstLineChars="200"/>
        <w:jc w:val="left"/>
        <w:rPr>
          <w:rFonts w:cs="仿宋" w:asciiTheme="majorEastAsia" w:hAnsiTheme="majorEastAsia" w:eastAsiaTheme="majorEastAsia"/>
          <w:sz w:val="24"/>
        </w:rPr>
      </w:pPr>
      <w:r>
        <w:rPr>
          <w:rFonts w:hint="eastAsia" w:cs="仿宋" w:asciiTheme="majorEastAsia" w:hAnsiTheme="majorEastAsia" w:eastAsiaTheme="majorEastAsia"/>
          <w:b/>
          <w:color w:val="333333"/>
          <w:kern w:val="0"/>
          <w:sz w:val="24"/>
          <w:shd w:val="clear" w:color="auto" w:fill="FFFFFF"/>
        </w:rPr>
        <w:t>1、成交结果将在相关网站（</w:t>
      </w:r>
      <w:r>
        <w:rPr>
          <w:rFonts w:cs="仿宋" w:asciiTheme="majorEastAsia" w:hAnsiTheme="majorEastAsia" w:eastAsiaTheme="majorEastAsia"/>
          <w:b/>
          <w:color w:val="333333"/>
          <w:kern w:val="0"/>
          <w:sz w:val="24"/>
          <w:shd w:val="clear" w:color="auto" w:fill="FFFFFF"/>
        </w:rPr>
        <w:t>http://ntqd.jsjc.gov.cn/</w:t>
      </w:r>
      <w:r>
        <w:rPr>
          <w:rFonts w:hint="eastAsia" w:cs="仿宋" w:asciiTheme="majorEastAsia" w:hAnsiTheme="majorEastAsia" w:eastAsiaTheme="majorEastAsia"/>
          <w:b/>
          <w:color w:val="333333"/>
          <w:kern w:val="0"/>
          <w:sz w:val="24"/>
          <w:shd w:val="clear" w:color="auto" w:fill="FFFFFF"/>
        </w:rPr>
        <w:t>）予以公布。</w:t>
      </w:r>
    </w:p>
    <w:p>
      <w:pPr>
        <w:widowControl/>
        <w:spacing w:line="42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color w:val="333333"/>
          <w:kern w:val="0"/>
          <w:sz w:val="24"/>
          <w:shd w:val="clear" w:color="auto" w:fill="FFFFFF"/>
        </w:rPr>
        <w:t>2、签订合同</w:t>
      </w:r>
    </w:p>
    <w:p>
      <w:pPr>
        <w:widowControl/>
        <w:spacing w:line="42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color w:val="333333"/>
          <w:kern w:val="0"/>
          <w:sz w:val="24"/>
          <w:shd w:val="clear" w:color="auto" w:fill="FFFFFF"/>
        </w:rPr>
        <w:t>询价文件、补充文件及成交供应商的报价文件等均为签订合同的依据。</w:t>
      </w:r>
    </w:p>
    <w:p>
      <w:pPr>
        <w:widowControl/>
        <w:spacing w:line="42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color w:val="333333"/>
          <w:kern w:val="0"/>
          <w:sz w:val="24"/>
          <w:shd w:val="clear" w:color="auto" w:fill="FFFFFF"/>
        </w:rPr>
        <w:t>3、成交供应商因自身原因</w:t>
      </w:r>
      <w:r>
        <w:rPr>
          <w:rFonts w:hint="eastAsia" w:cs="仿宋" w:asciiTheme="majorEastAsia" w:hAnsiTheme="majorEastAsia" w:eastAsiaTheme="majorEastAsia"/>
          <w:b/>
          <w:color w:val="333333"/>
          <w:kern w:val="0"/>
          <w:sz w:val="24"/>
          <w:shd w:val="clear" w:color="auto" w:fill="FFFFFF"/>
        </w:rPr>
        <w:t>不能订立</w:t>
      </w:r>
      <w:r>
        <w:rPr>
          <w:rFonts w:hint="eastAsia" w:cs="仿宋" w:asciiTheme="majorEastAsia" w:hAnsiTheme="majorEastAsia" w:eastAsiaTheme="majorEastAsia"/>
          <w:color w:val="333333"/>
          <w:kern w:val="0"/>
          <w:sz w:val="24"/>
          <w:shd w:val="clear" w:color="auto" w:fill="FFFFFF"/>
        </w:rPr>
        <w:t>政府采购合同的，采购单位将取消其成交资格，报价保证金不予退还，同时相关主管部门将对成交供应商作以下处理：记入不良信誉，并按《政府采购法》有关规定，暂停其在启东市场的政府采购资格。</w:t>
      </w:r>
    </w:p>
    <w:p>
      <w:pPr>
        <w:widowControl/>
        <w:spacing w:line="420" w:lineRule="exact"/>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color w:val="333333"/>
          <w:kern w:val="0"/>
          <w:sz w:val="24"/>
          <w:shd w:val="clear" w:color="auto" w:fill="FFFFFF"/>
        </w:rPr>
        <w:t>4、成交供应商因自身原因</w:t>
      </w:r>
      <w:r>
        <w:rPr>
          <w:rFonts w:hint="eastAsia" w:cs="仿宋" w:asciiTheme="majorEastAsia" w:hAnsiTheme="majorEastAsia" w:eastAsiaTheme="majorEastAsia"/>
          <w:b/>
          <w:color w:val="333333"/>
          <w:kern w:val="0"/>
          <w:sz w:val="24"/>
          <w:shd w:val="clear" w:color="auto" w:fill="FFFFFF"/>
        </w:rPr>
        <w:t>不能履行</w:t>
      </w:r>
      <w:r>
        <w:rPr>
          <w:rFonts w:hint="eastAsia" w:cs="仿宋" w:asciiTheme="majorEastAsia" w:hAnsiTheme="majorEastAsia" w:eastAsiaTheme="majorEastAsia"/>
          <w:color w:val="333333"/>
          <w:kern w:val="0"/>
          <w:sz w:val="24"/>
          <w:shd w:val="clear" w:color="auto" w:fill="FFFFFF"/>
        </w:rPr>
        <w:t>政府采购合同的，采购单位将取消其成交资格，履约保证金不予退还，同时相关主管部门将对成交供应商作以下处理：记入不良信誉，并按《政府采购法》有关规定，暂停其在启东市场的政府采购资格。</w:t>
      </w:r>
    </w:p>
    <w:p>
      <w:pPr>
        <w:widowControl/>
        <w:spacing w:line="420" w:lineRule="exact"/>
        <w:rPr>
          <w:rFonts w:cs="仿宋" w:asciiTheme="majorEastAsia" w:hAnsiTheme="majorEastAsia" w:eastAsiaTheme="majorEastAsia"/>
          <w:b/>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六、成交原则：</w:t>
      </w:r>
      <w:r>
        <w:rPr>
          <w:rFonts w:hint="eastAsia" w:cs="仿宋" w:asciiTheme="majorEastAsia" w:hAnsiTheme="majorEastAsia" w:eastAsiaTheme="majorEastAsia"/>
          <w:b/>
          <w:color w:val="333333"/>
          <w:kern w:val="0"/>
          <w:sz w:val="24"/>
          <w:u w:val="single"/>
          <w:shd w:val="clear" w:color="auto" w:fill="FFFFFF"/>
        </w:rPr>
        <w:t>符合采购需求且总报价最低者成交</w:t>
      </w:r>
      <w:r>
        <w:rPr>
          <w:rFonts w:hint="eastAsia" w:cs="仿宋" w:asciiTheme="majorEastAsia" w:hAnsiTheme="majorEastAsia" w:eastAsiaTheme="majorEastAsia"/>
          <w:b/>
          <w:color w:val="333333"/>
          <w:kern w:val="0"/>
          <w:sz w:val="24"/>
          <w:shd w:val="clear" w:color="auto" w:fill="FFFFFF"/>
        </w:rPr>
        <w:t>。如遇同等质量、服务前提下最低总报价相同则采用抽签方式确定中标单位。</w:t>
      </w:r>
    </w:p>
    <w:p>
      <w:pPr>
        <w:snapToGrid w:val="0"/>
        <w:spacing w:line="420" w:lineRule="exact"/>
        <w:ind w:firstLine="480" w:firstLineChars="200"/>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若中标人毁标或在中标结果公示期间被查证确实存在影响中标结果的违法违规行为等情形，不符合中标条件的，中标人的投标保证金不予退还，并记不良记录一次，同时，采购人依法重新招标。</w:t>
      </w:r>
    </w:p>
    <w:p>
      <w:pPr>
        <w:widowControl/>
        <w:spacing w:line="420" w:lineRule="exac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七、付款方式：</w:t>
      </w:r>
      <w:r>
        <w:rPr>
          <w:rFonts w:hint="eastAsia" w:cs="仿宋" w:asciiTheme="majorEastAsia" w:hAnsiTheme="majorEastAsia" w:eastAsiaTheme="majorEastAsia"/>
          <w:color w:val="333333"/>
          <w:kern w:val="0"/>
          <w:sz w:val="24"/>
          <w:shd w:val="clear" w:color="auto" w:fill="FFFFFF"/>
        </w:rPr>
        <w:t>所有设备到场安装调试完毕、验收合格后</w:t>
      </w:r>
      <w:r>
        <w:rPr>
          <w:rFonts w:cs="仿宋" w:asciiTheme="majorEastAsia" w:hAnsiTheme="majorEastAsia" w:eastAsiaTheme="majorEastAsia"/>
          <w:color w:val="333333"/>
          <w:kern w:val="0"/>
          <w:sz w:val="24"/>
          <w:shd w:val="clear" w:color="auto" w:fill="FFFFFF"/>
        </w:rPr>
        <w:t>1</w:t>
      </w:r>
      <w:r>
        <w:rPr>
          <w:rFonts w:hint="eastAsia" w:cs="仿宋" w:asciiTheme="majorEastAsia" w:hAnsiTheme="majorEastAsia" w:eastAsiaTheme="majorEastAsia"/>
          <w:color w:val="333333"/>
          <w:kern w:val="0"/>
          <w:sz w:val="24"/>
          <w:shd w:val="clear" w:color="auto" w:fill="FFFFFF"/>
        </w:rPr>
        <w:t>个月内无质量问题，支付合同价的95%，余款待质保期（质保期叁年）满后一次性支付（不计息）。</w:t>
      </w:r>
    </w:p>
    <w:p>
      <w:pPr>
        <w:widowControl/>
        <w:spacing w:line="440" w:lineRule="atLeast"/>
        <w:jc w:val="right"/>
        <w:rPr>
          <w:rFonts w:cs="仿宋" w:asciiTheme="minorEastAsia" w:hAnsiTheme="minorEastAsia"/>
          <w:color w:val="333333"/>
          <w:kern w:val="0"/>
          <w:sz w:val="24"/>
          <w:shd w:val="clear" w:color="auto" w:fill="FFFFFF"/>
        </w:rPr>
      </w:pPr>
    </w:p>
    <w:p>
      <w:pPr>
        <w:widowControl/>
        <w:spacing w:line="440" w:lineRule="atLeast"/>
        <w:ind w:right="120"/>
        <w:jc w:val="right"/>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启东市人民检察院</w:t>
      </w:r>
    </w:p>
    <w:p>
      <w:pPr>
        <w:widowControl/>
        <w:spacing w:line="440" w:lineRule="atLeast"/>
        <w:jc w:val="right"/>
        <w:rPr>
          <w:rFonts w:ascii="仿宋" w:hAnsi="仿宋" w:eastAsia="仿宋" w:cs="仿宋"/>
          <w:b/>
          <w:color w:val="333333"/>
          <w:kern w:val="0"/>
          <w:sz w:val="28"/>
          <w:szCs w:val="28"/>
          <w:shd w:val="clear" w:color="auto" w:fill="FFFFFF"/>
        </w:rPr>
      </w:pPr>
      <w:r>
        <w:rPr>
          <w:rFonts w:hint="eastAsia" w:cs="仿宋" w:asciiTheme="minorEastAsia" w:hAnsiTheme="minorEastAsia"/>
          <w:color w:val="333333"/>
          <w:kern w:val="0"/>
          <w:sz w:val="24"/>
          <w:shd w:val="clear" w:color="auto" w:fill="FFFFFF"/>
        </w:rPr>
        <w:t>  </w:t>
      </w:r>
      <w:r>
        <w:rPr>
          <w:rFonts w:hint="eastAsia" w:cs="仿宋" w:asciiTheme="minorEastAsia" w:hAnsiTheme="minorEastAsia"/>
          <w:kern w:val="0"/>
          <w:sz w:val="24"/>
          <w:shd w:val="clear" w:color="auto" w:fill="FFFFFF"/>
        </w:rPr>
        <w:t>二0一九年七月二十六日</w:t>
      </w:r>
      <w:r>
        <w:rPr>
          <w:rFonts w:hint="eastAsia" w:cs="仿宋" w:asciiTheme="minorEastAsia" w:hAnsiTheme="minorEastAsia"/>
          <w:b/>
          <w:kern w:val="0"/>
          <w:sz w:val="24"/>
          <w:shd w:val="clear" w:color="auto" w:fill="FFFFFF"/>
        </w:rPr>
        <w:t> </w:t>
      </w:r>
    </w:p>
    <w:p>
      <w:pPr>
        <w:widowControl/>
        <w:spacing w:line="440" w:lineRule="atLeast"/>
        <w:rPr>
          <w:rFonts w:hint="eastAsia" w:cs="仿宋" w:asciiTheme="minorEastAsia" w:hAnsiTheme="minorEastAsia"/>
          <w:b/>
          <w:color w:val="333333"/>
          <w:kern w:val="0"/>
          <w:sz w:val="24"/>
          <w:shd w:val="clear" w:color="auto" w:fill="FFFFFF"/>
        </w:rPr>
      </w:pPr>
      <w:r>
        <w:rPr>
          <w:rFonts w:hint="eastAsia" w:cs="仿宋" w:asciiTheme="minorEastAsia" w:hAnsiTheme="minorEastAsia"/>
          <w:b/>
          <w:color w:val="333333"/>
          <w:kern w:val="0"/>
          <w:sz w:val="24"/>
          <w:shd w:val="clear" w:color="auto" w:fill="FFFFFF"/>
        </w:rPr>
        <w:t xml:space="preserve"> </w:t>
      </w:r>
    </w:p>
    <w:p>
      <w:pPr>
        <w:widowControl/>
        <w:spacing w:line="440" w:lineRule="atLeast"/>
        <w:rPr>
          <w:rFonts w:hint="eastAsia" w:cs="仿宋" w:asciiTheme="minorEastAsia" w:hAnsiTheme="minorEastAsia"/>
          <w:b/>
          <w:color w:val="333333"/>
          <w:kern w:val="0"/>
          <w:sz w:val="24"/>
          <w:shd w:val="clear" w:color="auto" w:fill="FFFFFF"/>
        </w:rPr>
      </w:pPr>
    </w:p>
    <w:p>
      <w:pPr>
        <w:widowControl/>
        <w:spacing w:line="440" w:lineRule="atLeast"/>
        <w:rPr>
          <w:rFonts w:hint="eastAsia" w:cs="仿宋" w:asciiTheme="minorEastAsia" w:hAnsiTheme="minorEastAsia"/>
          <w:b/>
          <w:color w:val="333333"/>
          <w:kern w:val="0"/>
          <w:sz w:val="24"/>
          <w:shd w:val="clear" w:color="auto" w:fill="FFFFFF"/>
        </w:rPr>
      </w:pPr>
    </w:p>
    <w:p>
      <w:pPr>
        <w:widowControl/>
        <w:spacing w:line="440" w:lineRule="atLeast"/>
        <w:rPr>
          <w:rFonts w:hint="eastAsia" w:cs="仿宋" w:asciiTheme="minorEastAsia" w:hAnsiTheme="minorEastAsia"/>
          <w:b/>
          <w:color w:val="333333"/>
          <w:kern w:val="0"/>
          <w:sz w:val="24"/>
          <w:shd w:val="clear" w:color="auto" w:fill="FFFFFF"/>
        </w:rPr>
      </w:pPr>
    </w:p>
    <w:p>
      <w:pPr>
        <w:widowControl/>
        <w:spacing w:line="440" w:lineRule="atLeast"/>
        <w:rPr>
          <w:rFonts w:hint="eastAsia" w:cs="仿宋" w:asciiTheme="minorEastAsia" w:hAnsiTheme="minorEastAsia"/>
          <w:b/>
          <w:color w:val="333333"/>
          <w:kern w:val="0"/>
          <w:sz w:val="24"/>
          <w:shd w:val="clear" w:color="auto" w:fill="FFFFFF"/>
        </w:rPr>
      </w:pPr>
    </w:p>
    <w:p>
      <w:pPr>
        <w:widowControl/>
        <w:spacing w:line="440" w:lineRule="atLeast"/>
        <w:rPr>
          <w:rFonts w:cs="宋体" w:asciiTheme="majorEastAsia" w:hAnsiTheme="majorEastAsia" w:eastAsiaTheme="majorEastAsia"/>
          <w:b/>
          <w:kern w:val="0"/>
          <w:sz w:val="24"/>
        </w:rPr>
      </w:pPr>
      <w:r>
        <w:rPr>
          <w:rFonts w:hint="eastAsia" w:cs="仿宋" w:asciiTheme="minorEastAsia" w:hAnsiTheme="minorEastAsia"/>
          <w:b/>
          <w:color w:val="333333"/>
          <w:kern w:val="0"/>
          <w:sz w:val="24"/>
          <w:shd w:val="clear" w:color="auto" w:fill="FFFFFF"/>
        </w:rPr>
        <w:t>附件一：</w:t>
      </w:r>
      <w:r>
        <w:rPr>
          <w:rFonts w:hint="eastAsia" w:cs="宋体" w:asciiTheme="majorEastAsia" w:hAnsiTheme="majorEastAsia" w:eastAsiaTheme="majorEastAsia"/>
          <w:b/>
          <w:kern w:val="0"/>
          <w:sz w:val="24"/>
        </w:rPr>
        <w:t>法定代表人身份证明书</w:t>
      </w:r>
    </w:p>
    <w:p>
      <w:pPr>
        <w:pStyle w:val="5"/>
        <w:spacing w:line="360" w:lineRule="auto"/>
        <w:jc w:val="center"/>
        <w:rPr>
          <w:rFonts w:cs="宋体" w:asciiTheme="majorEastAsia" w:hAnsiTheme="majorEastAsia" w:eastAsiaTheme="majorEastAsia"/>
          <w:b/>
          <w:kern w:val="0"/>
          <w:sz w:val="24"/>
          <w:szCs w:val="24"/>
        </w:rPr>
      </w:pPr>
      <w:bookmarkStart w:id="0" w:name="_Toc312173660"/>
      <w:bookmarkStart w:id="1" w:name="_Toc299633887"/>
      <w:bookmarkStart w:id="2" w:name="_Toc299646633"/>
      <w:bookmarkStart w:id="3" w:name="_Toc299646286"/>
    </w:p>
    <w:p>
      <w:pPr>
        <w:pStyle w:val="5"/>
        <w:spacing w:line="360" w:lineRule="auto"/>
        <w:jc w:val="center"/>
        <w:rPr>
          <w:rFonts w:cs="宋体" w:asciiTheme="majorEastAsia" w:hAnsiTheme="majorEastAsia" w:eastAsiaTheme="majorEastAsia"/>
          <w:b/>
          <w:kern w:val="0"/>
          <w:sz w:val="24"/>
          <w:szCs w:val="24"/>
        </w:rPr>
      </w:pPr>
      <w:r>
        <w:rPr>
          <w:rFonts w:hint="eastAsia" w:cs="宋体" w:asciiTheme="majorEastAsia" w:hAnsiTheme="majorEastAsia" w:eastAsiaTheme="majorEastAsia"/>
          <w:b/>
          <w:kern w:val="0"/>
          <w:sz w:val="24"/>
          <w:szCs w:val="24"/>
        </w:rPr>
        <w:t>法定代表人身份证明书</w:t>
      </w:r>
      <w:bookmarkEnd w:id="0"/>
      <w:bookmarkEnd w:id="1"/>
      <w:bookmarkEnd w:id="2"/>
      <w:bookmarkEnd w:id="3"/>
    </w:p>
    <w:p>
      <w:pPr>
        <w:pStyle w:val="5"/>
        <w:spacing w:line="420" w:lineRule="atLeast"/>
        <w:ind w:firstLine="480" w:firstLineChars="200"/>
        <w:jc w:val="center"/>
        <w:rPr>
          <w:rFonts w:asciiTheme="majorEastAsia" w:hAnsiTheme="majorEastAsia" w:eastAsiaTheme="majorEastAsia"/>
          <w:sz w:val="24"/>
          <w:szCs w:val="24"/>
        </w:rPr>
      </w:pP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投标人名称：</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单位性质：</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地    址：</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成立时间：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经营期限：</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姓    名：</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性别：</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年龄：</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职务：</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系：</w:t>
      </w:r>
      <w:r>
        <w:rPr>
          <w:rFonts w:hint="eastAsia" w:asciiTheme="majorEastAsia" w:hAnsiTheme="majorEastAsia" w:eastAsiaTheme="majorEastAsia"/>
          <w:sz w:val="24"/>
          <w:szCs w:val="24"/>
          <w:u w:val="single"/>
        </w:rPr>
        <w:t xml:space="preserve">     (投标人单位名称)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的法定代表人。</w:t>
      </w:r>
    </w:p>
    <w:p>
      <w:pPr>
        <w:pStyle w:val="5"/>
        <w:spacing w:line="480" w:lineRule="auto"/>
        <w:ind w:firstLine="480" w:firstLineChars="200"/>
        <w:rPr>
          <w:rFonts w:asciiTheme="majorEastAsia" w:hAnsiTheme="majorEastAsia" w:eastAsiaTheme="majorEastAsia"/>
          <w:sz w:val="24"/>
          <w:szCs w:val="24"/>
        </w:rPr>
      </w:pP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特此证明</w:t>
      </w:r>
    </w:p>
    <w:p>
      <w:pPr>
        <w:pStyle w:val="5"/>
        <w:spacing w:line="480" w:lineRule="auto"/>
        <w:ind w:firstLine="480" w:firstLineChars="200"/>
        <w:rPr>
          <w:rFonts w:asciiTheme="majorEastAsia" w:hAnsiTheme="majorEastAsia" w:eastAsiaTheme="majorEastAsia"/>
          <w:sz w:val="24"/>
          <w:szCs w:val="24"/>
        </w:rPr>
      </w:pPr>
    </w:p>
    <w:p>
      <w:pPr>
        <w:pStyle w:val="5"/>
        <w:spacing w:line="480" w:lineRule="auto"/>
        <w:ind w:firstLine="480" w:firstLineChars="200"/>
        <w:rPr>
          <w:rFonts w:asciiTheme="majorEastAsia" w:hAnsiTheme="majorEastAsia" w:eastAsiaTheme="majorEastAsia"/>
          <w:sz w:val="24"/>
          <w:szCs w:val="24"/>
        </w:rPr>
      </w:pP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投标人(盖法人章)：</w:t>
      </w:r>
      <w:r>
        <w:rPr>
          <w:rFonts w:hint="eastAsia" w:asciiTheme="majorEastAsia" w:hAnsiTheme="majorEastAsia" w:eastAsiaTheme="majorEastAsia"/>
          <w:sz w:val="24"/>
          <w:szCs w:val="24"/>
          <w:u w:val="single"/>
        </w:rPr>
        <w:t xml:space="preserve">                   </w:t>
      </w:r>
    </w:p>
    <w:p>
      <w:pPr>
        <w:pStyle w:val="5"/>
        <w:spacing w:line="480" w:lineRule="auto"/>
        <w:ind w:firstLine="480" w:firstLineChars="200"/>
        <w:rPr>
          <w:rFonts w:asciiTheme="majorEastAsia" w:hAnsiTheme="majorEastAsia" w:eastAsiaTheme="majorEastAsia"/>
          <w:sz w:val="24"/>
          <w:szCs w:val="24"/>
        </w:rPr>
      </w:pP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日   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p>
      <w:pPr>
        <w:pStyle w:val="5"/>
        <w:spacing w:line="420" w:lineRule="atLeast"/>
        <w:ind w:firstLine="480" w:firstLineChars="200"/>
        <w:rPr>
          <w:rFonts w:asciiTheme="majorEastAsia" w:hAnsiTheme="majorEastAsia" w:eastAsiaTheme="majorEastAsia"/>
          <w:sz w:val="24"/>
          <w:szCs w:val="24"/>
        </w:rPr>
      </w:pPr>
    </w:p>
    <w:p>
      <w:pPr>
        <w:pStyle w:val="5"/>
        <w:spacing w:line="420" w:lineRule="atLeast"/>
        <w:ind w:firstLine="480" w:firstLineChars="200"/>
        <w:jc w:val="center"/>
        <w:rPr>
          <w:rFonts w:asciiTheme="majorEastAsia" w:hAnsiTheme="majorEastAsia" w:eastAsiaTheme="majorEastAsia"/>
          <w:sz w:val="24"/>
          <w:szCs w:val="24"/>
        </w:rPr>
      </w:pPr>
    </w:p>
    <w:p>
      <w:pPr>
        <w:pStyle w:val="5"/>
        <w:spacing w:line="420" w:lineRule="atLeast"/>
        <w:ind w:firstLine="480" w:firstLineChars="200"/>
        <w:jc w:val="center"/>
        <w:rPr>
          <w:rFonts w:asciiTheme="majorEastAsia" w:hAnsiTheme="majorEastAsia" w:eastAsiaTheme="majorEastAsia"/>
          <w:sz w:val="24"/>
          <w:szCs w:val="24"/>
        </w:rPr>
      </w:pPr>
    </w:p>
    <w:p>
      <w:pPr>
        <w:pStyle w:val="5"/>
        <w:spacing w:line="360" w:lineRule="auto"/>
        <w:ind w:firstLine="0"/>
        <w:jc w:val="left"/>
        <w:rPr>
          <w:rFonts w:cs="宋体" w:asciiTheme="majorEastAsia" w:hAnsiTheme="majorEastAsia" w:eastAsiaTheme="majorEastAsia"/>
          <w:b/>
          <w:kern w:val="0"/>
          <w:sz w:val="24"/>
          <w:szCs w:val="24"/>
        </w:rPr>
      </w:pPr>
      <w:bookmarkStart w:id="4" w:name="_Toc299633888"/>
      <w:r>
        <w:rPr>
          <w:rFonts w:asciiTheme="majorEastAsia" w:hAnsiTheme="majorEastAsia" w:eastAsiaTheme="majorEastAsia"/>
          <w:sz w:val="24"/>
          <w:szCs w:val="24"/>
        </w:rPr>
        <w:br w:type="page"/>
      </w:r>
      <w:bookmarkStart w:id="5" w:name="_Toc299646287"/>
      <w:bookmarkStart w:id="6" w:name="_Toc312173661"/>
      <w:bookmarkStart w:id="7" w:name="_Toc299646634"/>
      <w:r>
        <w:rPr>
          <w:rFonts w:hint="eastAsia" w:cs="宋体" w:asciiTheme="majorEastAsia" w:hAnsiTheme="majorEastAsia" w:eastAsiaTheme="majorEastAsia"/>
          <w:b/>
          <w:kern w:val="0"/>
          <w:sz w:val="24"/>
          <w:szCs w:val="24"/>
        </w:rPr>
        <w:t>附件二: 授权委托书</w:t>
      </w:r>
    </w:p>
    <w:p>
      <w:pPr>
        <w:pStyle w:val="16"/>
        <w:rPr>
          <w:rFonts w:asciiTheme="majorEastAsia" w:hAnsiTheme="majorEastAsia" w:eastAsiaTheme="majorEastAsia"/>
          <w:sz w:val="24"/>
          <w:szCs w:val="24"/>
        </w:rPr>
      </w:pPr>
      <w:r>
        <w:rPr>
          <w:rFonts w:hint="eastAsia" w:cs="宋体" w:asciiTheme="majorEastAsia" w:hAnsiTheme="majorEastAsia" w:eastAsiaTheme="majorEastAsia"/>
          <w:b/>
          <w:sz w:val="24"/>
          <w:szCs w:val="24"/>
        </w:rPr>
        <w:t>授权委托书</w:t>
      </w:r>
      <w:bookmarkEnd w:id="4"/>
      <w:bookmarkEnd w:id="5"/>
      <w:bookmarkEnd w:id="6"/>
      <w:bookmarkEnd w:id="7"/>
    </w:p>
    <w:p>
      <w:pPr>
        <w:pStyle w:val="5"/>
        <w:spacing w:line="420" w:lineRule="atLeast"/>
        <w:ind w:firstLine="480" w:firstLineChars="200"/>
        <w:rPr>
          <w:rFonts w:asciiTheme="majorEastAsia" w:hAnsiTheme="majorEastAsia" w:eastAsiaTheme="majorEastAsia"/>
          <w:sz w:val="24"/>
          <w:szCs w:val="24"/>
        </w:rPr>
      </w:pPr>
    </w:p>
    <w:p>
      <w:pPr>
        <w:pStyle w:val="5"/>
        <w:spacing w:line="480" w:lineRule="auto"/>
        <w:ind w:firstLine="840" w:firstLineChars="350"/>
        <w:rPr>
          <w:rFonts w:asciiTheme="majorEastAsia" w:hAnsiTheme="majorEastAsia" w:eastAsiaTheme="majorEastAsia"/>
          <w:sz w:val="24"/>
          <w:szCs w:val="24"/>
        </w:rPr>
      </w:pPr>
      <w:r>
        <w:rPr>
          <w:rFonts w:hint="eastAsia" w:asciiTheme="majorEastAsia" w:hAnsiTheme="majorEastAsia" w:eastAsiaTheme="majorEastAsia"/>
          <w:sz w:val="24"/>
          <w:szCs w:val="24"/>
        </w:rPr>
        <w:t>本授权委托书声明：我</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(姓名)系</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(投标人名称)的法定代表人，现授权委托</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(单位名称)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(姓名)</w:t>
      </w:r>
    </w:p>
    <w:p>
      <w:pPr>
        <w:pStyle w:val="5"/>
        <w:spacing w:line="480" w:lineRule="auto"/>
        <w:ind w:firstLine="0"/>
        <w:rPr>
          <w:rFonts w:asciiTheme="majorEastAsia" w:hAnsiTheme="majorEastAsia" w:eastAsiaTheme="majorEastAsia"/>
          <w:sz w:val="24"/>
          <w:szCs w:val="24"/>
        </w:rPr>
      </w:pPr>
      <w:r>
        <w:rPr>
          <w:rFonts w:hint="eastAsia" w:asciiTheme="majorEastAsia" w:hAnsiTheme="majorEastAsia" w:eastAsiaTheme="majorEastAsia"/>
          <w:sz w:val="24"/>
          <w:szCs w:val="24"/>
        </w:rPr>
        <w:t>为我单位的合法代理人，以本公司的名义参加</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(招标人名称)的</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工程投标。代理人所签署的一切文件和处理与之有关的一切事务，我均予承认。</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委托期限：</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 </w:t>
      </w:r>
    </w:p>
    <w:p>
      <w:pPr>
        <w:pStyle w:val="5"/>
        <w:spacing w:line="48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代理人无转委权，特此委托。</w:t>
      </w:r>
    </w:p>
    <w:p>
      <w:pPr>
        <w:pStyle w:val="5"/>
        <w:spacing w:line="420" w:lineRule="atLeast"/>
        <w:ind w:firstLine="480" w:firstLineChars="200"/>
        <w:rPr>
          <w:rFonts w:asciiTheme="majorEastAsia" w:hAnsiTheme="majorEastAsia" w:eastAsiaTheme="majorEastAsia"/>
          <w:sz w:val="24"/>
          <w:szCs w:val="24"/>
        </w:rPr>
      </w:pPr>
    </w:p>
    <w:p>
      <w:pPr>
        <w:pStyle w:val="5"/>
        <w:spacing w:line="420" w:lineRule="atLeast"/>
        <w:ind w:firstLine="480" w:firstLineChars="200"/>
        <w:rPr>
          <w:rFonts w:asciiTheme="majorEastAsia" w:hAnsiTheme="majorEastAsia" w:eastAsiaTheme="majorEastAsia"/>
          <w:sz w:val="24"/>
          <w:szCs w:val="24"/>
        </w:rPr>
      </w:pPr>
    </w:p>
    <w:p>
      <w:pPr>
        <w:pStyle w:val="5"/>
        <w:spacing w:line="800" w:lineRule="exact"/>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投标人(盖法人章)：</w:t>
      </w:r>
      <w:r>
        <w:rPr>
          <w:rFonts w:hint="eastAsia" w:asciiTheme="majorEastAsia" w:hAnsiTheme="majorEastAsia" w:eastAsiaTheme="majorEastAsia"/>
          <w:sz w:val="24"/>
          <w:szCs w:val="24"/>
          <w:u w:val="single"/>
        </w:rPr>
        <w:t xml:space="preserve">                           </w:t>
      </w:r>
    </w:p>
    <w:p>
      <w:pPr>
        <w:pStyle w:val="5"/>
        <w:spacing w:line="800" w:lineRule="exact"/>
        <w:ind w:firstLine="480" w:firstLineChars="200"/>
        <w:jc w:val="center"/>
        <w:rPr>
          <w:rFonts w:asciiTheme="majorEastAsia" w:hAnsiTheme="majorEastAsia" w:eastAsiaTheme="majorEastAsia"/>
          <w:sz w:val="24"/>
          <w:szCs w:val="24"/>
          <w:u w:val="single"/>
        </w:rPr>
      </w:pPr>
      <w:r>
        <w:rPr>
          <w:rFonts w:hint="eastAsia" w:asciiTheme="majorEastAsia" w:hAnsiTheme="majorEastAsia" w:eastAsiaTheme="majorEastAsia"/>
          <w:sz w:val="24"/>
          <w:szCs w:val="24"/>
        </w:rPr>
        <w:t>法定代表人(签字)：</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 </w:t>
      </w:r>
    </w:p>
    <w:p>
      <w:pPr>
        <w:pStyle w:val="5"/>
        <w:spacing w:line="800" w:lineRule="exact"/>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身份证号码： </w:t>
      </w:r>
      <w:r>
        <w:rPr>
          <w:rFonts w:hint="eastAsia" w:asciiTheme="majorEastAsia" w:hAnsiTheme="majorEastAsia" w:eastAsiaTheme="majorEastAsia"/>
          <w:sz w:val="24"/>
          <w:szCs w:val="24"/>
          <w:u w:val="single"/>
        </w:rPr>
        <w:t xml:space="preserve">                           </w:t>
      </w:r>
    </w:p>
    <w:p>
      <w:pPr>
        <w:pStyle w:val="5"/>
        <w:spacing w:line="800" w:lineRule="exact"/>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委托代理人(签字)：</w:t>
      </w:r>
      <w:r>
        <w:rPr>
          <w:rFonts w:hint="eastAsia" w:asciiTheme="majorEastAsia" w:hAnsiTheme="majorEastAsia" w:eastAsiaTheme="majorEastAsia"/>
          <w:sz w:val="24"/>
          <w:szCs w:val="24"/>
          <w:u w:val="single"/>
        </w:rPr>
        <w:t xml:space="preserve">                         </w:t>
      </w:r>
    </w:p>
    <w:p>
      <w:pPr>
        <w:pStyle w:val="5"/>
        <w:spacing w:line="800" w:lineRule="exact"/>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身份证号码：</w:t>
      </w:r>
      <w:r>
        <w:rPr>
          <w:rFonts w:hint="eastAsia" w:asciiTheme="majorEastAsia" w:hAnsiTheme="majorEastAsia" w:eastAsiaTheme="majorEastAsia"/>
          <w:sz w:val="24"/>
          <w:szCs w:val="24"/>
          <w:u w:val="single"/>
        </w:rPr>
        <w:t xml:space="preserve">                            </w:t>
      </w:r>
    </w:p>
    <w:p>
      <w:pPr>
        <w:pStyle w:val="5"/>
        <w:spacing w:line="800" w:lineRule="exact"/>
        <w:ind w:firstLine="480" w:firstLineChars="200"/>
        <w:rPr>
          <w:rFonts w:asciiTheme="majorEastAsia" w:hAnsiTheme="majorEastAsia" w:eastAsiaTheme="majorEastAsia"/>
          <w:sz w:val="24"/>
          <w:szCs w:val="24"/>
        </w:rPr>
      </w:pPr>
    </w:p>
    <w:p>
      <w:pPr>
        <w:pStyle w:val="5"/>
        <w:spacing w:line="800" w:lineRule="exact"/>
        <w:ind w:firstLine="480" w:firstLineChars="20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授权日期：    年    月    日</w:t>
      </w:r>
    </w:p>
    <w:p>
      <w:pPr>
        <w:widowControl/>
        <w:spacing w:line="560" w:lineRule="exact"/>
        <w:rPr>
          <w:rFonts w:cs="仿宋" w:asciiTheme="minorEastAsia" w:hAnsiTheme="minorEastAsia"/>
          <w:b/>
          <w:color w:val="333333"/>
          <w:kern w:val="0"/>
          <w:sz w:val="24"/>
          <w:shd w:val="clear" w:color="auto" w:fill="FFFFFF"/>
        </w:rPr>
      </w:pPr>
    </w:p>
    <w:p>
      <w:pPr>
        <w:widowControl/>
        <w:spacing w:line="560" w:lineRule="exact"/>
        <w:rPr>
          <w:rFonts w:cs="仿宋" w:asciiTheme="minorEastAsia" w:hAnsiTheme="minorEastAsia"/>
          <w:b/>
          <w:color w:val="333333"/>
          <w:kern w:val="0"/>
          <w:sz w:val="24"/>
          <w:shd w:val="clear" w:color="auto" w:fill="FFFFFF"/>
        </w:rPr>
      </w:pPr>
    </w:p>
    <w:p>
      <w:pPr>
        <w:pStyle w:val="5"/>
        <w:spacing w:line="360" w:lineRule="auto"/>
        <w:ind w:firstLine="0"/>
        <w:jc w:val="left"/>
        <w:rPr>
          <w:rFonts w:cs="仿宋" w:asciiTheme="minorEastAsia" w:hAnsiTheme="minorEastAsia" w:eastAsiaTheme="minorEastAsia"/>
          <w:sz w:val="24"/>
          <w:szCs w:val="24"/>
        </w:rPr>
      </w:pPr>
      <w:r>
        <w:rPr>
          <w:rFonts w:hint="eastAsia" w:cs="仿宋" w:asciiTheme="majorEastAsia" w:hAnsiTheme="majorEastAsia" w:eastAsiaTheme="majorEastAsia"/>
          <w:b/>
          <w:color w:val="333333"/>
          <w:kern w:val="0"/>
          <w:sz w:val="24"/>
          <w:szCs w:val="24"/>
          <w:shd w:val="clear" w:color="auto" w:fill="FFFFFF"/>
        </w:rPr>
        <w:t>附件三：</w:t>
      </w:r>
      <w:r>
        <w:rPr>
          <w:rFonts w:hint="eastAsia" w:cs="仿宋" w:asciiTheme="minorEastAsia" w:hAnsiTheme="minorEastAsia" w:eastAsiaTheme="minorEastAsia"/>
          <w:b/>
          <w:color w:val="333333"/>
          <w:kern w:val="0"/>
          <w:sz w:val="24"/>
          <w:szCs w:val="24"/>
          <w:shd w:val="clear" w:color="auto" w:fill="FFFFFF"/>
        </w:rPr>
        <w:t>报价承诺书</w:t>
      </w:r>
    </w:p>
    <w:p>
      <w:pPr>
        <w:widowControl/>
        <w:spacing w:line="560" w:lineRule="exact"/>
        <w:jc w:val="center"/>
        <w:rPr>
          <w:rFonts w:cs="仿宋" w:asciiTheme="minorEastAsia" w:hAnsiTheme="minorEastAsia"/>
          <w:sz w:val="24"/>
        </w:rPr>
      </w:pPr>
      <w:r>
        <w:rPr>
          <w:rFonts w:hint="eastAsia" w:cs="仿宋" w:asciiTheme="minorEastAsia" w:hAnsiTheme="minorEastAsia"/>
          <w:b/>
          <w:color w:val="333333"/>
          <w:kern w:val="0"/>
          <w:sz w:val="24"/>
          <w:shd w:val="clear" w:color="auto" w:fill="FFFFFF"/>
        </w:rPr>
        <w:t>报 价 承 诺 书</w:t>
      </w:r>
    </w:p>
    <w:p>
      <w:pPr>
        <w:widowControl/>
        <w:spacing w:line="560" w:lineRule="exact"/>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启东市人民检察院：</w:t>
      </w:r>
    </w:p>
    <w:p>
      <w:pPr>
        <w:widowControl/>
        <w:spacing w:line="560" w:lineRule="exact"/>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（报价单位全称）授权（姓  名）（职  务）为全权代表，参加</w:t>
      </w:r>
      <w:r>
        <w:rPr>
          <w:rFonts w:hint="eastAsia" w:cs="仿宋" w:asciiTheme="minorEastAsia" w:hAnsiTheme="minorEastAsia"/>
          <w:b/>
          <w:color w:val="333333"/>
          <w:kern w:val="0"/>
          <w:sz w:val="24"/>
          <w:u w:val="single"/>
          <w:shd w:val="clear" w:color="auto" w:fill="FFFFFF"/>
        </w:rPr>
        <w:t>启东市人民检察院装备采购项目</w:t>
      </w:r>
      <w:r>
        <w:rPr>
          <w:rFonts w:hint="eastAsia" w:cs="仿宋" w:asciiTheme="minorEastAsia" w:hAnsiTheme="minorEastAsia"/>
          <w:color w:val="333333"/>
          <w:kern w:val="0"/>
          <w:sz w:val="24"/>
          <w:shd w:val="clear" w:color="auto" w:fill="FFFFFF"/>
        </w:rPr>
        <w:t>询价的有关活动，并宣布同意如下：</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1．我方愿意按照报价文件的全部要求进行报价（报价内容及价格以报价文件为准）。</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2．我方完全理解并同意放弃对询价邀请文件有不明及误解的权利。</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3．我方将按询价邀请文件的规定履行合同责任和义务。</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4．如果我方在报价有效期内撤回报价文件，报价保证金将不被贵方退还。</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5．我方同意提供按照贵方可能要求的与其报价有关的一切数据或资料，理解并同意贵方的评标办法。</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6．我方的报价文件自开标后60天内有效。</w:t>
      </w:r>
    </w:p>
    <w:p>
      <w:pPr>
        <w:widowControl/>
        <w:spacing w:line="560" w:lineRule="exact"/>
        <w:ind w:firstLine="560"/>
        <w:jc w:val="left"/>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7．与本报价有关的一切往来通讯请寄：</w:t>
      </w:r>
    </w:p>
    <w:p>
      <w:pPr>
        <w:widowControl/>
        <w:spacing w:line="560" w:lineRule="exact"/>
        <w:ind w:firstLine="560"/>
        <w:jc w:val="left"/>
        <w:rPr>
          <w:rFonts w:cs="仿宋" w:asciiTheme="minorEastAsia" w:hAnsiTheme="minorEastAsia"/>
          <w:sz w:val="24"/>
        </w:rPr>
      </w:pP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地址：　　　　　　　　　　　　　邮编：</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电话：　　　　　　　　　　　　　传真：</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报价单位代表姓名：　　　　　　　　职务：</w:t>
      </w:r>
    </w:p>
    <w:p>
      <w:pPr>
        <w:widowControl/>
        <w:spacing w:line="560" w:lineRule="exact"/>
        <w:ind w:firstLine="560"/>
        <w:jc w:val="left"/>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报价单位名称：（加盖单位公章）</w:t>
      </w:r>
    </w:p>
    <w:p>
      <w:pPr>
        <w:widowControl/>
        <w:spacing w:line="560" w:lineRule="exact"/>
        <w:ind w:firstLine="560"/>
        <w:jc w:val="left"/>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  年     月      日</w:t>
      </w:r>
    </w:p>
    <w:p>
      <w:pPr>
        <w:widowControl/>
        <w:spacing w:line="560" w:lineRule="exact"/>
        <w:ind w:firstLine="560"/>
        <w:jc w:val="left"/>
        <w:rPr>
          <w:rFonts w:cs="仿宋" w:asciiTheme="minorEastAsia" w:hAnsiTheme="minorEastAsia"/>
          <w:color w:val="333333"/>
          <w:kern w:val="0"/>
          <w:sz w:val="24"/>
          <w:shd w:val="clear" w:color="auto" w:fill="FFFFFF"/>
        </w:rPr>
      </w:pPr>
    </w:p>
    <w:p>
      <w:pPr>
        <w:widowControl/>
        <w:spacing w:line="560" w:lineRule="exact"/>
        <w:ind w:firstLine="560"/>
        <w:jc w:val="left"/>
        <w:rPr>
          <w:rFonts w:cs="仿宋" w:asciiTheme="minorEastAsia" w:hAnsiTheme="minorEastAsia"/>
          <w:color w:val="333333"/>
          <w:kern w:val="0"/>
          <w:sz w:val="24"/>
          <w:shd w:val="clear" w:color="auto" w:fill="FFFFFF"/>
        </w:rPr>
      </w:pPr>
    </w:p>
    <w:p>
      <w:pPr>
        <w:widowControl/>
        <w:spacing w:line="560" w:lineRule="exact"/>
        <w:ind w:firstLine="560"/>
        <w:jc w:val="left"/>
        <w:rPr>
          <w:rFonts w:cs="仿宋" w:asciiTheme="minorEastAsia" w:hAnsiTheme="minorEastAsia"/>
          <w:color w:val="333333"/>
          <w:kern w:val="0"/>
          <w:sz w:val="24"/>
          <w:shd w:val="clear" w:color="auto" w:fill="FFFFFF"/>
        </w:rPr>
      </w:pPr>
    </w:p>
    <w:p>
      <w:pPr>
        <w:widowControl/>
        <w:spacing w:line="560" w:lineRule="exact"/>
        <w:jc w:val="left"/>
        <w:rPr>
          <w:rFonts w:cs="仿宋" w:asciiTheme="minorEastAsia" w:hAnsiTheme="minorEastAsia"/>
          <w:color w:val="333333"/>
          <w:kern w:val="0"/>
          <w:sz w:val="24"/>
          <w:shd w:val="clear" w:color="auto" w:fill="FFFFFF"/>
        </w:rPr>
      </w:pPr>
    </w:p>
    <w:p>
      <w:pPr>
        <w:pStyle w:val="5"/>
        <w:spacing w:line="360" w:lineRule="auto"/>
        <w:ind w:firstLine="0"/>
        <w:jc w:val="left"/>
        <w:rPr>
          <w:rFonts w:cs="仿宋" w:asciiTheme="majorEastAsia" w:hAnsiTheme="majorEastAsia" w:eastAsiaTheme="majorEastAsia"/>
          <w:b/>
          <w:color w:val="333333"/>
          <w:kern w:val="0"/>
          <w:sz w:val="24"/>
          <w:szCs w:val="24"/>
          <w:shd w:val="clear" w:color="auto" w:fill="FFFFFF"/>
        </w:rPr>
      </w:pPr>
    </w:p>
    <w:p>
      <w:pPr>
        <w:pStyle w:val="5"/>
        <w:spacing w:line="360" w:lineRule="auto"/>
        <w:ind w:firstLine="0"/>
        <w:jc w:val="left"/>
        <w:rPr>
          <w:rFonts w:cs="仿宋" w:asciiTheme="minorEastAsia" w:hAnsiTheme="minorEastAsia" w:eastAsiaTheme="minorEastAsia"/>
          <w:sz w:val="24"/>
          <w:szCs w:val="24"/>
        </w:rPr>
      </w:pPr>
      <w:r>
        <w:rPr>
          <w:rFonts w:hint="eastAsia" w:cs="仿宋" w:asciiTheme="majorEastAsia" w:hAnsiTheme="majorEastAsia" w:eastAsiaTheme="majorEastAsia"/>
          <w:b/>
          <w:color w:val="333333"/>
          <w:kern w:val="0"/>
          <w:sz w:val="24"/>
          <w:szCs w:val="24"/>
          <w:shd w:val="clear" w:color="auto" w:fill="FFFFFF"/>
        </w:rPr>
        <w:t>附件四：</w:t>
      </w:r>
      <w:r>
        <w:rPr>
          <w:rFonts w:hint="eastAsia" w:cs="仿宋" w:asciiTheme="minorEastAsia" w:hAnsiTheme="minorEastAsia" w:eastAsiaTheme="minorEastAsia"/>
          <w:b/>
          <w:color w:val="333333"/>
          <w:kern w:val="0"/>
          <w:sz w:val="24"/>
          <w:szCs w:val="24"/>
          <w:shd w:val="clear" w:color="auto" w:fill="FFFFFF"/>
        </w:rPr>
        <w:t>质保承诺书</w:t>
      </w:r>
    </w:p>
    <w:p>
      <w:pPr>
        <w:widowControl/>
        <w:spacing w:line="560" w:lineRule="exact"/>
        <w:jc w:val="center"/>
        <w:rPr>
          <w:rFonts w:cs="仿宋" w:asciiTheme="minorEastAsia" w:hAnsiTheme="minorEastAsia"/>
          <w:sz w:val="24"/>
        </w:rPr>
      </w:pPr>
      <w:r>
        <w:rPr>
          <w:rFonts w:hint="eastAsia" w:cs="仿宋" w:asciiTheme="minorEastAsia" w:hAnsiTheme="minorEastAsia"/>
          <w:b/>
          <w:color w:val="333333"/>
          <w:kern w:val="0"/>
          <w:sz w:val="24"/>
          <w:shd w:val="clear" w:color="auto" w:fill="FFFFFF"/>
        </w:rPr>
        <w:t>质 保 承 诺 书</w:t>
      </w:r>
    </w:p>
    <w:p>
      <w:pPr>
        <w:widowControl/>
        <w:spacing w:line="560" w:lineRule="exact"/>
        <w:rPr>
          <w:rFonts w:cs="仿宋" w:asciiTheme="minorEastAsia" w:hAnsiTheme="minorEastAsia"/>
          <w:sz w:val="24"/>
        </w:rPr>
      </w:pPr>
      <w:r>
        <w:rPr>
          <w:rFonts w:hint="eastAsia" w:cs="仿宋" w:asciiTheme="minorEastAsia" w:hAnsiTheme="minorEastAsia"/>
          <w:color w:val="333333"/>
          <w:kern w:val="0"/>
          <w:sz w:val="24"/>
          <w:shd w:val="clear" w:color="auto" w:fill="FFFFFF"/>
        </w:rPr>
        <w:t>启东市人民检察院：</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（报价单位全称）授权（姓  名）（职  务）为全权代表，参加</w:t>
      </w:r>
      <w:r>
        <w:rPr>
          <w:rFonts w:hint="eastAsia" w:cs="仿宋" w:asciiTheme="minorEastAsia" w:hAnsiTheme="minorEastAsia"/>
          <w:b/>
          <w:color w:val="333333"/>
          <w:kern w:val="0"/>
          <w:sz w:val="24"/>
          <w:u w:val="single"/>
          <w:shd w:val="clear" w:color="auto" w:fill="FFFFFF"/>
        </w:rPr>
        <w:t>启东市人民检察院装备采购项目</w:t>
      </w:r>
      <w:r>
        <w:rPr>
          <w:rFonts w:hint="eastAsia" w:cs="仿宋" w:asciiTheme="minorEastAsia" w:hAnsiTheme="minorEastAsia"/>
          <w:color w:val="333333"/>
          <w:kern w:val="0"/>
          <w:sz w:val="24"/>
          <w:shd w:val="clear" w:color="auto" w:fill="FFFFFF"/>
        </w:rPr>
        <w:t>询价的有关活动，并宣布同意如下：</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1.我方承诺对本项目整体</w:t>
      </w:r>
      <w:r>
        <w:rPr>
          <w:rFonts w:hint="eastAsia" w:cs="仿宋" w:asciiTheme="minorEastAsia" w:hAnsiTheme="minorEastAsia"/>
          <w:kern w:val="0"/>
          <w:sz w:val="24"/>
          <w:shd w:val="clear" w:color="auto" w:fill="FFFFFF"/>
        </w:rPr>
        <w:t>提供</w:t>
      </w:r>
      <w:r>
        <w:rPr>
          <w:rFonts w:hint="eastAsia" w:cs="仿宋" w:asciiTheme="minorEastAsia" w:hAnsiTheme="minorEastAsia"/>
          <w:b/>
          <w:kern w:val="0"/>
          <w:sz w:val="24"/>
          <w:u w:val="single"/>
          <w:shd w:val="clear" w:color="auto" w:fill="FFFFFF"/>
        </w:rPr>
        <w:t xml:space="preserve"> 叁年 </w:t>
      </w:r>
      <w:r>
        <w:rPr>
          <w:rFonts w:hint="eastAsia" w:cs="仿宋" w:asciiTheme="minorEastAsia" w:hAnsiTheme="minorEastAsia"/>
          <w:kern w:val="0"/>
          <w:sz w:val="24"/>
          <w:shd w:val="clear" w:color="auto" w:fill="FFFFFF"/>
        </w:rPr>
        <w:t>的全</w:t>
      </w:r>
      <w:r>
        <w:rPr>
          <w:rFonts w:hint="eastAsia" w:cs="仿宋" w:asciiTheme="minorEastAsia" w:hAnsiTheme="minorEastAsia"/>
          <w:color w:val="333333"/>
          <w:kern w:val="0"/>
          <w:sz w:val="24"/>
          <w:shd w:val="clear" w:color="auto" w:fill="FFFFFF"/>
        </w:rPr>
        <w:t>免费上门质保维护(含部件及人工)及售后服务。</w:t>
      </w:r>
    </w:p>
    <w:p>
      <w:pPr>
        <w:widowControl/>
        <w:spacing w:line="500" w:lineRule="atLeast"/>
        <w:ind w:firstLine="560"/>
        <w:rPr>
          <w:rFonts w:cs="仿宋" w:asciiTheme="minorEastAsia" w:hAnsiTheme="minorEastAsia"/>
          <w:color w:val="333333"/>
          <w:kern w:val="0"/>
          <w:sz w:val="24"/>
          <w:shd w:val="clear" w:color="auto" w:fill="FFFFFF"/>
        </w:rPr>
      </w:pPr>
      <w:r>
        <w:rPr>
          <w:rFonts w:cs="仿宋" w:asciiTheme="minorEastAsia" w:hAnsiTheme="minorEastAsia"/>
          <w:color w:val="333333"/>
          <w:kern w:val="0"/>
          <w:sz w:val="24"/>
          <w:shd w:val="clear" w:color="auto" w:fill="FFFFFF"/>
        </w:rPr>
        <w:t>2.</w:t>
      </w:r>
      <w:r>
        <w:rPr>
          <w:rFonts w:hint="eastAsia" w:cs="仿宋" w:asciiTheme="minorEastAsia" w:hAnsiTheme="minorEastAsia"/>
          <w:color w:val="333333"/>
          <w:kern w:val="0"/>
          <w:sz w:val="24"/>
          <w:shd w:val="clear" w:color="auto" w:fill="FFFFFF"/>
        </w:rPr>
        <w:t>在质保期内，设备出现任何硬件或软件故障无法正常使用，供应商必须无条件给予维修并承担所有维修费用。</w:t>
      </w:r>
    </w:p>
    <w:p>
      <w:pPr>
        <w:widowControl/>
        <w:spacing w:line="500" w:lineRule="atLeast"/>
        <w:ind w:firstLine="560"/>
        <w:rPr>
          <w:rFonts w:cs="仿宋" w:asciiTheme="minorEastAsia" w:hAnsiTheme="minorEastAsia"/>
          <w:color w:val="333333"/>
          <w:kern w:val="0"/>
          <w:sz w:val="24"/>
          <w:shd w:val="clear" w:color="auto" w:fill="FFFFFF"/>
        </w:rPr>
      </w:pPr>
      <w:r>
        <w:rPr>
          <w:rFonts w:cs="仿宋" w:asciiTheme="minorEastAsia" w:hAnsiTheme="minorEastAsia"/>
          <w:color w:val="333333"/>
          <w:kern w:val="0"/>
          <w:sz w:val="24"/>
          <w:shd w:val="clear" w:color="auto" w:fill="FFFFFF"/>
        </w:rPr>
        <w:t>3</w:t>
      </w:r>
      <w:r>
        <w:rPr>
          <w:rFonts w:hint="eastAsia" w:cs="仿宋" w:asciiTheme="minorEastAsia" w:hAnsiTheme="minorEastAsia"/>
          <w:color w:val="333333"/>
          <w:kern w:val="0"/>
          <w:sz w:val="24"/>
          <w:shd w:val="clear" w:color="auto" w:fill="FFFFFF"/>
        </w:rPr>
        <w:t>.在免费质保期内，我方在接到用户单位电话通知后，将在</w:t>
      </w:r>
      <w:r>
        <w:rPr>
          <w:rFonts w:cs="仿宋" w:asciiTheme="minorEastAsia" w:hAnsiTheme="minorEastAsia"/>
          <w:color w:val="333333"/>
          <w:kern w:val="0"/>
          <w:sz w:val="24"/>
          <w:shd w:val="clear" w:color="auto" w:fill="FFFFFF"/>
        </w:rPr>
        <w:t>2</w:t>
      </w:r>
      <w:r>
        <w:rPr>
          <w:rFonts w:hint="eastAsia" w:cs="仿宋" w:asciiTheme="minorEastAsia" w:hAnsiTheme="minorEastAsia"/>
          <w:color w:val="333333"/>
          <w:kern w:val="0"/>
          <w:sz w:val="24"/>
          <w:shd w:val="clear" w:color="auto" w:fill="FFFFFF"/>
        </w:rPr>
        <w:t>小时之内上门服务，并在</w:t>
      </w:r>
      <w:r>
        <w:rPr>
          <w:rFonts w:cs="仿宋" w:asciiTheme="minorEastAsia" w:hAnsiTheme="minorEastAsia"/>
          <w:color w:val="333333"/>
          <w:kern w:val="0"/>
          <w:sz w:val="24"/>
          <w:shd w:val="clear" w:color="auto" w:fill="FFFFFF"/>
        </w:rPr>
        <w:t>4</w:t>
      </w:r>
      <w:r>
        <w:rPr>
          <w:rFonts w:hint="eastAsia" w:cs="仿宋" w:asciiTheme="minorEastAsia" w:hAnsiTheme="minorEastAsia"/>
          <w:color w:val="333333"/>
          <w:kern w:val="0"/>
          <w:sz w:val="24"/>
          <w:shd w:val="clear" w:color="auto" w:fill="FFFFFF"/>
        </w:rPr>
        <w:t>小时内负责修复。如需更换货物或送修，必须在</w:t>
      </w:r>
      <w:r>
        <w:rPr>
          <w:rFonts w:cs="仿宋" w:asciiTheme="minorEastAsia" w:hAnsiTheme="minorEastAsia"/>
          <w:color w:val="333333"/>
          <w:kern w:val="0"/>
          <w:sz w:val="24"/>
          <w:shd w:val="clear" w:color="auto" w:fill="FFFFFF"/>
        </w:rPr>
        <w:t>12</w:t>
      </w:r>
      <w:r>
        <w:rPr>
          <w:rFonts w:hint="eastAsia" w:cs="仿宋" w:asciiTheme="minorEastAsia" w:hAnsiTheme="minorEastAsia"/>
          <w:color w:val="333333"/>
          <w:kern w:val="0"/>
          <w:sz w:val="24"/>
          <w:shd w:val="clear" w:color="auto" w:fill="FFFFFF"/>
        </w:rPr>
        <w:t>小时内提供备用货物，并在</w:t>
      </w:r>
      <w:r>
        <w:rPr>
          <w:rFonts w:cs="仿宋" w:asciiTheme="minorEastAsia" w:hAnsiTheme="minorEastAsia"/>
          <w:color w:val="333333"/>
          <w:kern w:val="0"/>
          <w:sz w:val="24"/>
          <w:shd w:val="clear" w:color="auto" w:fill="FFFFFF"/>
        </w:rPr>
        <w:t>10</w:t>
      </w:r>
      <w:r>
        <w:rPr>
          <w:rFonts w:hint="eastAsia" w:cs="仿宋" w:asciiTheme="minorEastAsia" w:hAnsiTheme="minorEastAsia"/>
          <w:color w:val="333333"/>
          <w:kern w:val="0"/>
          <w:sz w:val="24"/>
          <w:shd w:val="clear" w:color="auto" w:fill="FFFFFF"/>
        </w:rPr>
        <w:t>个工作日内负责对送修货物维修完毕并送至用户单位处。</w:t>
      </w:r>
    </w:p>
    <w:p>
      <w:pPr>
        <w:widowControl/>
        <w:spacing w:line="560" w:lineRule="exact"/>
        <w:ind w:firstLine="560"/>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4.与本项目有关的一切往来通讯请寄。</w:t>
      </w:r>
    </w:p>
    <w:p>
      <w:pPr>
        <w:widowControl/>
        <w:spacing w:line="560" w:lineRule="exact"/>
        <w:ind w:firstLine="560"/>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5、同一设备在保修期内发生相同故障二次以上（含二次）的，更换新产品；</w:t>
      </w:r>
    </w:p>
    <w:p>
      <w:pPr>
        <w:widowControl/>
        <w:spacing w:line="560" w:lineRule="exact"/>
        <w:ind w:firstLine="560"/>
        <w:rPr>
          <w:rFonts w:cs="仿宋" w:asciiTheme="minorEastAsia" w:hAnsiTheme="minorEastAsia"/>
          <w:color w:val="333333"/>
          <w:kern w:val="0"/>
          <w:sz w:val="24"/>
          <w:shd w:val="clear" w:color="auto" w:fill="FFFFFF"/>
        </w:rPr>
      </w:pPr>
    </w:p>
    <w:p>
      <w:pPr>
        <w:widowControl/>
        <w:spacing w:line="560" w:lineRule="exact"/>
        <w:ind w:firstLine="560"/>
        <w:rPr>
          <w:rFonts w:cs="仿宋" w:asciiTheme="minorEastAsia" w:hAnsiTheme="minorEastAsia"/>
          <w:sz w:val="24"/>
        </w:rPr>
      </w:pP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地址：　　　　　　　　　　　　　邮编：</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电话：　　　　　　　　　　　　　传真：</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报价单位代表姓名：　　　　　　　  　职务：</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报价单位名称（加盖单位公章）：</w:t>
      </w:r>
    </w:p>
    <w:p>
      <w:pPr>
        <w:widowControl/>
        <w:spacing w:line="560" w:lineRule="exact"/>
        <w:ind w:firstLine="560"/>
        <w:rPr>
          <w:rFonts w:cs="仿宋" w:asciiTheme="minorEastAsia" w:hAnsiTheme="minorEastAsia"/>
          <w:sz w:val="24"/>
        </w:rPr>
      </w:pPr>
      <w:r>
        <w:rPr>
          <w:rFonts w:hint="eastAsia" w:cs="仿宋" w:asciiTheme="minorEastAsia" w:hAnsiTheme="minorEastAsia"/>
          <w:color w:val="333333"/>
          <w:kern w:val="0"/>
          <w:sz w:val="24"/>
          <w:shd w:val="clear" w:color="auto" w:fill="FFFFFF"/>
        </w:rPr>
        <w:t>日期：        年     月      日　　</w:t>
      </w:r>
    </w:p>
    <w:p>
      <w:pPr>
        <w:widowControl/>
        <w:spacing w:line="440" w:lineRule="atLeast"/>
        <w:rPr>
          <w:rFonts w:ascii="仿宋" w:hAnsi="仿宋" w:eastAsia="仿宋" w:cs="仿宋"/>
          <w:color w:val="333333"/>
          <w:kern w:val="0"/>
          <w:sz w:val="28"/>
          <w:szCs w:val="28"/>
          <w:shd w:val="clear" w:color="auto" w:fill="FFFFFF"/>
        </w:rPr>
      </w:pPr>
    </w:p>
    <w:p>
      <w:pPr>
        <w:widowControl/>
        <w:spacing w:line="440" w:lineRule="atLeast"/>
        <w:rPr>
          <w:rFonts w:ascii="仿宋" w:hAnsi="仿宋" w:eastAsia="仿宋" w:cs="仿宋"/>
          <w:color w:val="333333"/>
          <w:kern w:val="0"/>
          <w:sz w:val="28"/>
          <w:szCs w:val="28"/>
          <w:shd w:val="clear" w:color="auto" w:fill="FFFFFF"/>
        </w:rPr>
      </w:pPr>
    </w:p>
    <w:p>
      <w:pPr>
        <w:widowControl/>
        <w:spacing w:line="440" w:lineRule="atLeast"/>
        <w:rPr>
          <w:rFonts w:ascii="仿宋" w:hAnsi="仿宋" w:eastAsia="仿宋" w:cs="仿宋"/>
          <w:color w:val="333333"/>
          <w:kern w:val="0"/>
          <w:sz w:val="28"/>
          <w:szCs w:val="28"/>
          <w:shd w:val="clear" w:color="auto" w:fill="FFFFFF"/>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pacing w:line="440" w:lineRule="atLeast"/>
        <w:rPr>
          <w:rFonts w:cs="仿宋" w:asciiTheme="majorEastAsia" w:hAnsiTheme="majorEastAsia" w:eastAsiaTheme="majorEastAsia"/>
          <w:b/>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附件五：报价表范本</w:t>
      </w:r>
    </w:p>
    <w:p>
      <w:pPr>
        <w:widowControl/>
        <w:spacing w:line="500" w:lineRule="atLeast"/>
        <w:jc w:val="center"/>
        <w:rPr>
          <w:rFonts w:cs="仿宋" w:asciiTheme="minorEastAsia" w:hAnsiTheme="minorEastAsia"/>
          <w:sz w:val="44"/>
          <w:szCs w:val="44"/>
        </w:rPr>
      </w:pPr>
      <w:r>
        <w:rPr>
          <w:rFonts w:hint="eastAsia" w:cs="仿宋" w:asciiTheme="minorEastAsia" w:hAnsiTheme="minorEastAsia"/>
          <w:b/>
          <w:color w:val="333333"/>
          <w:kern w:val="0"/>
          <w:sz w:val="44"/>
          <w:szCs w:val="44"/>
          <w:shd w:val="clear" w:color="auto" w:fill="FFFFFF"/>
        </w:rPr>
        <w:t>报 价 表</w:t>
      </w:r>
    </w:p>
    <w:p>
      <w:pPr>
        <w:widowControl/>
        <w:spacing w:line="240" w:lineRule="atLeast"/>
        <w:jc w:val="center"/>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项目名称：启东市人民检察院装备采购项目</w:t>
      </w:r>
    </w:p>
    <w:tbl>
      <w:tblPr>
        <w:tblStyle w:val="10"/>
        <w:tblW w:w="9439" w:type="dxa"/>
        <w:jc w:val="center"/>
        <w:tblInd w:w="3173" w:type="dxa"/>
        <w:tblLayout w:type="fixed"/>
        <w:tblCellMar>
          <w:top w:w="15" w:type="dxa"/>
          <w:left w:w="15" w:type="dxa"/>
          <w:bottom w:w="15" w:type="dxa"/>
          <w:right w:w="15" w:type="dxa"/>
        </w:tblCellMar>
      </w:tblPr>
      <w:tblGrid>
        <w:gridCol w:w="438"/>
        <w:gridCol w:w="638"/>
        <w:gridCol w:w="4536"/>
        <w:gridCol w:w="55"/>
        <w:gridCol w:w="608"/>
        <w:gridCol w:w="612"/>
        <w:gridCol w:w="1372"/>
        <w:gridCol w:w="1180"/>
      </w:tblGrid>
      <w:tr>
        <w:tblPrEx>
          <w:tblLayout w:type="fixed"/>
          <w:tblCellMar>
            <w:top w:w="15" w:type="dxa"/>
            <w:left w:w="15" w:type="dxa"/>
            <w:bottom w:w="15" w:type="dxa"/>
            <w:right w:w="15" w:type="dxa"/>
          </w:tblCellMar>
        </w:tblPrEx>
        <w:trPr>
          <w:trHeight w:val="399" w:hRule="atLeast"/>
          <w:jc w:val="center"/>
        </w:trPr>
        <w:tc>
          <w:tcPr>
            <w:tcW w:w="438"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序号</w:t>
            </w:r>
          </w:p>
        </w:tc>
        <w:tc>
          <w:tcPr>
            <w:tcW w:w="638"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名称</w:t>
            </w:r>
          </w:p>
        </w:tc>
        <w:tc>
          <w:tcPr>
            <w:tcW w:w="4536"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技术参数</w:t>
            </w:r>
          </w:p>
        </w:tc>
        <w:tc>
          <w:tcPr>
            <w:tcW w:w="663" w:type="dxa"/>
            <w:gridSpan w:val="2"/>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单位</w:t>
            </w:r>
          </w:p>
        </w:tc>
        <w:tc>
          <w:tcPr>
            <w:tcW w:w="612" w:type="dxa"/>
            <w:tcBorders>
              <w:top w:val="single" w:color="000000" w:sz="8" w:space="0"/>
              <w:left w:val="nil"/>
              <w:bottom w:val="single" w:color="000000" w:sz="8" w:space="0"/>
              <w:right w:val="single" w:color="000000" w:sz="8" w:space="0"/>
            </w:tcBorders>
            <w:shd w:val="clear" w:color="auto" w:fill="auto"/>
            <w:tcMar>
              <w:top w:w="0" w:type="dxa"/>
              <w:left w:w="85" w:type="dxa"/>
              <w:bottom w:w="0" w:type="dxa"/>
              <w:right w:w="85"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数量</w:t>
            </w:r>
          </w:p>
        </w:tc>
        <w:tc>
          <w:tcPr>
            <w:tcW w:w="1372"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所选品牌</w:t>
            </w:r>
          </w:p>
        </w:tc>
        <w:tc>
          <w:tcPr>
            <w:tcW w:w="1180"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b/>
                <w:kern w:val="0"/>
                <w:sz w:val="24"/>
              </w:rPr>
              <w:t>小计（元）</w:t>
            </w:r>
          </w:p>
        </w:tc>
      </w:tr>
      <w:tr>
        <w:tblPrEx>
          <w:tblLayout w:type="fixed"/>
          <w:tblCellMar>
            <w:top w:w="15" w:type="dxa"/>
            <w:left w:w="15" w:type="dxa"/>
            <w:bottom w:w="15" w:type="dxa"/>
            <w:right w:w="15" w:type="dxa"/>
          </w:tblCellMar>
        </w:tblPrEx>
        <w:trPr>
          <w:trHeight w:val="3003" w:hRule="atLeast"/>
          <w:jc w:val="center"/>
        </w:trPr>
        <w:tc>
          <w:tcPr>
            <w:tcW w:w="438"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kern w:val="0"/>
                <w:sz w:val="24"/>
              </w:rPr>
              <w:t>1</w:t>
            </w:r>
          </w:p>
        </w:tc>
        <w:tc>
          <w:tcPr>
            <w:tcW w:w="63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spacing w:line="440" w:lineRule="exact"/>
              <w:jc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color w:val="333333"/>
                <w:sz w:val="18"/>
                <w:szCs w:val="18"/>
              </w:rPr>
              <w:t>杀毒软件服务器</w:t>
            </w:r>
          </w:p>
        </w:tc>
        <w:tc>
          <w:tcPr>
            <w:tcW w:w="4536"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exact"/>
              <w:jc w:val="left"/>
              <w:rPr>
                <w:rFonts w:cs="仿宋_GB2312" w:asciiTheme="majorEastAsia" w:hAnsiTheme="majorEastAsia" w:eastAsiaTheme="majorEastAsia"/>
                <w:spacing w:val="-6"/>
                <w:kern w:val="0"/>
                <w:sz w:val="18"/>
                <w:szCs w:val="18"/>
              </w:rPr>
            </w:pPr>
            <w:r>
              <w:rPr>
                <w:rFonts w:hint="eastAsia" w:cs="仿宋_GB2312" w:asciiTheme="majorEastAsia" w:hAnsiTheme="majorEastAsia" w:eastAsiaTheme="majorEastAsia"/>
                <w:spacing w:val="-10"/>
                <w:sz w:val="18"/>
                <w:szCs w:val="18"/>
              </w:rPr>
              <w:t>机架2U，带导轨；英特尔® 至强® 处理器E5-2600V4系列，英特尔®至强®E5-2603v4(1.7GHz/6c)/6.4GT/15ML3*1；≥16G RDIMM,2133MT/s DDR4，不少于20个内存插槽，最高支持DDR4-2133内存，最大可扩展2.5TB内存（当使用单条容量128GB的内存时），</w:t>
            </w:r>
            <w:r>
              <w:rPr>
                <w:rFonts w:hint="eastAsia" w:cs="仿宋_GB2312" w:asciiTheme="majorEastAsia" w:hAnsiTheme="majorEastAsia" w:eastAsiaTheme="majorEastAsia"/>
                <w:spacing w:val="-6"/>
                <w:sz w:val="18"/>
                <w:szCs w:val="18"/>
              </w:rPr>
              <w:t>支持高级内存纠错、内存镜像、内存热备等高级功能；可选8通道SAS 6Gb及12Gb磁盘控制器，主板集成 RAID卡，支持RAID0/1/5；本次配置1TB SATA（企业级）*2，最大支持不少于26块2.5寸SATA/SAS接口硬盘；配置2个高性能千兆以太网控制器，双口千兆网卡（光纤接口含多模模块）*1，支持虚拟化加速、网络加速、负载均衡、冗余等高级功能，另外可支持FLOM技术，选择集成双千兆、双万兆等多种配置；集成5个USB3.0接口，2个VGA接口，1个串口；配置高效冗余热插拔电源；标配白金级，可选钛金级，支持PMbus功能，实现Node Manager 3.0功能；可选热插拔单电；集成≥16M显存显示控制器；热插拔风扇，支持N+1冗余；集成系统管理芯片，提供远程管理和远程诊断功能，支持IPMI1.5、IPMI2.0、WfM2.0、EMP，可选扩展KVM over IP，虚拟媒体等管理功能；可选LCD管理模块，提供本地可视化系统监控和故障诊断功能；支持操作系统安全加固模块；具有自主知识产权的国产安全服务器系统；符合信息安全等级保护三级标准，并提供涉密信息产品检测证书，提供自主知识产权软件注册权证书；提供自主产权的简体中文版智能备份还原软件，可实现一次进行多个磁盘或分区的备份；实现windows操作系统的本地及网络备份还原功能；支持USB移动硬盘、光盘备份设备；中国国家强制性产品认证证书（3C证书）；制造厂商具备IT服务管理体系认证（ISO20000）、信息安全管理体系认证（ISO27001）、国际质量管理体系认证（ISO9001）;国际环境管理体系认证（ISO14001）;厂家工程师3年7*24小时免费上门质保服务，投标时提供设备原厂商项目授权书</w:t>
            </w:r>
          </w:p>
        </w:tc>
        <w:tc>
          <w:tcPr>
            <w:tcW w:w="663" w:type="dxa"/>
            <w:gridSpan w:val="2"/>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jc w:val="center"/>
              <w:rPr>
                <w:rFonts w:cs="仿宋" w:asciiTheme="minorEastAsia" w:hAnsiTheme="minorEastAsia"/>
                <w:sz w:val="24"/>
              </w:rPr>
            </w:pPr>
            <w:r>
              <w:rPr>
                <w:rFonts w:hint="eastAsia" w:cs="仿宋" w:asciiTheme="minorEastAsia" w:hAnsiTheme="minorEastAsia"/>
                <w:kern w:val="0"/>
                <w:sz w:val="24"/>
              </w:rPr>
              <w:t>台</w:t>
            </w:r>
          </w:p>
        </w:tc>
        <w:tc>
          <w:tcPr>
            <w:tcW w:w="612" w:type="dxa"/>
            <w:tcBorders>
              <w:top w:val="nil"/>
              <w:left w:val="nil"/>
              <w:bottom w:val="single" w:color="000000" w:sz="8" w:space="0"/>
              <w:right w:val="single" w:color="000000" w:sz="8" w:space="0"/>
            </w:tcBorders>
            <w:shd w:val="clear" w:color="auto" w:fill="auto"/>
            <w:tcMar>
              <w:top w:w="0" w:type="dxa"/>
              <w:left w:w="85" w:type="dxa"/>
              <w:bottom w:w="0" w:type="dxa"/>
              <w:right w:w="85" w:type="dxa"/>
            </w:tcMar>
            <w:vAlign w:val="center"/>
          </w:tcPr>
          <w:p>
            <w:pPr>
              <w:widowControl/>
              <w:jc w:val="center"/>
              <w:rPr>
                <w:rFonts w:cs="仿宋" w:asciiTheme="minorEastAsia" w:hAnsiTheme="minorEastAsia"/>
                <w:sz w:val="24"/>
              </w:rPr>
            </w:pPr>
            <w:r>
              <w:rPr>
                <w:rFonts w:hint="eastAsia" w:cs="仿宋" w:asciiTheme="minorEastAsia" w:hAnsiTheme="minorEastAsia"/>
                <w:sz w:val="24"/>
              </w:rPr>
              <w:t>1</w:t>
            </w:r>
          </w:p>
        </w:tc>
        <w:tc>
          <w:tcPr>
            <w:tcW w:w="137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rPr>
                <w:rFonts w:cs="仿宋_GB2312" w:asciiTheme="majorEastAsia" w:hAnsiTheme="majorEastAsia" w:eastAsiaTheme="majorEastAsia"/>
                <w:szCs w:val="21"/>
              </w:rPr>
            </w:pPr>
          </w:p>
        </w:tc>
        <w:tc>
          <w:tcPr>
            <w:tcW w:w="1180"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p>
        </w:tc>
      </w:tr>
      <w:tr>
        <w:tblPrEx>
          <w:tblLayout w:type="fixed"/>
          <w:tblCellMar>
            <w:top w:w="15" w:type="dxa"/>
            <w:left w:w="15" w:type="dxa"/>
            <w:bottom w:w="15" w:type="dxa"/>
            <w:right w:w="15" w:type="dxa"/>
          </w:tblCellMar>
        </w:tblPrEx>
        <w:trPr>
          <w:trHeight w:val="902" w:hRule="atLeast"/>
          <w:jc w:val="center"/>
        </w:trPr>
        <w:tc>
          <w:tcPr>
            <w:tcW w:w="438"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r>
              <w:rPr>
                <w:rFonts w:hint="eastAsia" w:cs="仿宋" w:asciiTheme="minorEastAsia" w:hAnsiTheme="minorEastAsia"/>
                <w:kern w:val="0"/>
                <w:sz w:val="24"/>
              </w:rPr>
              <w:t>2</w:t>
            </w:r>
          </w:p>
        </w:tc>
        <w:tc>
          <w:tcPr>
            <w:tcW w:w="63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spacing w:line="440" w:lineRule="exact"/>
              <w:jc w:val="center"/>
              <w:rPr>
                <w:rFonts w:cs="仿宋_GB2312" w:asciiTheme="majorEastAsia" w:hAnsiTheme="majorEastAsia" w:eastAsiaTheme="majorEastAsia"/>
                <w:sz w:val="18"/>
                <w:szCs w:val="18"/>
              </w:rPr>
            </w:pPr>
            <w:r>
              <w:rPr>
                <w:rFonts w:hint="eastAsia" w:cs="仿宋_GB2312" w:asciiTheme="majorEastAsia" w:hAnsiTheme="majorEastAsia" w:eastAsiaTheme="majorEastAsia"/>
                <w:color w:val="333333"/>
                <w:sz w:val="18"/>
                <w:szCs w:val="18"/>
              </w:rPr>
              <w:t>彩色打印机</w:t>
            </w:r>
          </w:p>
        </w:tc>
        <w:tc>
          <w:tcPr>
            <w:tcW w:w="4536"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exact"/>
              <w:jc w:val="left"/>
              <w:rPr>
                <w:rFonts w:cs="仿宋_GB2312" w:asciiTheme="majorEastAsia" w:hAnsiTheme="majorEastAsia" w:eastAsiaTheme="majorEastAsia"/>
                <w:spacing w:val="-6"/>
                <w:sz w:val="18"/>
                <w:szCs w:val="18"/>
              </w:rPr>
            </w:pPr>
            <w:r>
              <w:rPr>
                <w:rFonts w:hint="eastAsia" w:cs="仿宋_GB2312" w:asciiTheme="majorEastAsia" w:hAnsiTheme="majorEastAsia" w:eastAsiaTheme="majorEastAsia"/>
                <w:spacing w:val="-6"/>
                <w:sz w:val="18"/>
                <w:szCs w:val="18"/>
              </w:rPr>
              <w:t>A</w:t>
            </w:r>
            <w:r>
              <w:rPr>
                <w:rFonts w:hint="eastAsia" w:cs="仿宋_GB2312" w:asciiTheme="majorEastAsia" w:hAnsiTheme="majorEastAsia" w:eastAsiaTheme="majorEastAsia"/>
                <w:spacing w:val="-10"/>
                <w:sz w:val="18"/>
                <w:szCs w:val="18"/>
              </w:rPr>
              <w:t>3 /彩色多功能复合机；基本配置：DF-629双面自动输稿器；9英寸超大触摸屏；内存容量2G、硬盘容量250G；连续复印1-9999页；打印分辨率1800dpi*600dpi；纸盒容量500页*2个纸盒+手送（100页）； 网络打印、双面打印、网络彩色扫描，e-mail扫描； 黑白/彩色36页/分钟；整机设计寿命200万张；含原厂机柜。</w:t>
            </w:r>
          </w:p>
        </w:tc>
        <w:tc>
          <w:tcPr>
            <w:tcW w:w="663" w:type="dxa"/>
            <w:gridSpan w:val="2"/>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jc w:val="center"/>
              <w:rPr>
                <w:rFonts w:cs="仿宋" w:asciiTheme="minorEastAsia" w:hAnsiTheme="minorEastAsia"/>
                <w:sz w:val="24"/>
              </w:rPr>
            </w:pPr>
            <w:r>
              <w:rPr>
                <w:rFonts w:hint="eastAsia" w:cs="仿宋" w:asciiTheme="minorEastAsia" w:hAnsiTheme="minorEastAsia"/>
                <w:kern w:val="0"/>
                <w:sz w:val="24"/>
              </w:rPr>
              <w:t>台</w:t>
            </w:r>
          </w:p>
        </w:tc>
        <w:tc>
          <w:tcPr>
            <w:tcW w:w="612" w:type="dxa"/>
            <w:tcBorders>
              <w:top w:val="nil"/>
              <w:left w:val="nil"/>
              <w:bottom w:val="single" w:color="000000" w:sz="8" w:space="0"/>
              <w:right w:val="single" w:color="000000" w:sz="8" w:space="0"/>
            </w:tcBorders>
            <w:shd w:val="clear" w:color="auto" w:fill="auto"/>
            <w:tcMar>
              <w:top w:w="0" w:type="dxa"/>
              <w:left w:w="85" w:type="dxa"/>
              <w:bottom w:w="0" w:type="dxa"/>
              <w:right w:w="85" w:type="dxa"/>
            </w:tcMar>
            <w:vAlign w:val="center"/>
          </w:tcPr>
          <w:p>
            <w:pPr>
              <w:widowControl/>
              <w:jc w:val="center"/>
              <w:rPr>
                <w:rFonts w:cs="仿宋" w:asciiTheme="minorEastAsia" w:hAnsiTheme="minorEastAsia"/>
                <w:sz w:val="24"/>
              </w:rPr>
            </w:pPr>
            <w:r>
              <w:rPr>
                <w:rFonts w:hint="eastAsia" w:cs="仿宋" w:asciiTheme="minorEastAsia" w:hAnsiTheme="minorEastAsia"/>
                <w:sz w:val="24"/>
              </w:rPr>
              <w:t>1</w:t>
            </w:r>
          </w:p>
        </w:tc>
        <w:tc>
          <w:tcPr>
            <w:tcW w:w="137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jc w:val="center"/>
              <w:rPr>
                <w:rFonts w:cs="仿宋_GB2312" w:asciiTheme="majorEastAsia" w:hAnsiTheme="majorEastAsia" w:eastAsiaTheme="majorEastAsia"/>
                <w:szCs w:val="21"/>
              </w:rPr>
            </w:pPr>
          </w:p>
        </w:tc>
        <w:tc>
          <w:tcPr>
            <w:tcW w:w="1180"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widowControl/>
              <w:spacing w:line="240" w:lineRule="atLeast"/>
              <w:jc w:val="center"/>
              <w:rPr>
                <w:rFonts w:cs="仿宋" w:asciiTheme="minorEastAsia" w:hAnsiTheme="minorEastAsia"/>
                <w:sz w:val="24"/>
              </w:rPr>
            </w:pPr>
          </w:p>
        </w:tc>
      </w:tr>
      <w:tr>
        <w:tblPrEx>
          <w:tblLayout w:type="fixed"/>
          <w:tblCellMar>
            <w:top w:w="15" w:type="dxa"/>
            <w:left w:w="15" w:type="dxa"/>
            <w:bottom w:w="15" w:type="dxa"/>
            <w:right w:w="15" w:type="dxa"/>
          </w:tblCellMar>
        </w:tblPrEx>
        <w:trPr>
          <w:trHeight w:val="475" w:hRule="atLeast"/>
          <w:jc w:val="center"/>
        </w:trPr>
        <w:tc>
          <w:tcPr>
            <w:tcW w:w="5667" w:type="dxa"/>
            <w:gridSpan w:val="4"/>
            <w:tcBorders>
              <w:top w:val="nil"/>
              <w:left w:val="single" w:color="000000" w:sz="8" w:space="0"/>
              <w:bottom w:val="single" w:color="000000" w:sz="8" w:space="0"/>
              <w:right w:val="single" w:color="auto" w:sz="4" w:space="0"/>
            </w:tcBorders>
            <w:shd w:val="clear" w:color="auto" w:fill="auto"/>
            <w:tcMar>
              <w:top w:w="0" w:type="dxa"/>
              <w:left w:w="0" w:type="dxa"/>
              <w:bottom w:w="0" w:type="dxa"/>
              <w:right w:w="0" w:type="dxa"/>
            </w:tcMar>
            <w:vAlign w:val="center"/>
          </w:tcPr>
          <w:p>
            <w:pPr>
              <w:widowControl/>
              <w:spacing w:line="240" w:lineRule="atLeast"/>
              <w:rPr>
                <w:rFonts w:cs="仿宋" w:asciiTheme="minorEastAsia" w:hAnsiTheme="minorEastAsia"/>
                <w:sz w:val="24"/>
              </w:rPr>
            </w:pPr>
            <w:r>
              <w:rPr>
                <w:rFonts w:hint="eastAsia" w:cs="仿宋" w:asciiTheme="minorEastAsia" w:hAnsiTheme="minorEastAsia"/>
                <w:b/>
                <w:kern w:val="0"/>
                <w:sz w:val="24"/>
              </w:rPr>
              <w:t>合计人民币大写：</w:t>
            </w:r>
          </w:p>
        </w:tc>
        <w:tc>
          <w:tcPr>
            <w:tcW w:w="3772" w:type="dxa"/>
            <w:gridSpan w:val="4"/>
            <w:tcBorders>
              <w:top w:val="nil"/>
              <w:left w:val="single" w:color="auto" w:sz="4" w:space="0"/>
              <w:bottom w:val="single" w:color="000000" w:sz="8" w:space="0"/>
              <w:right w:val="single" w:color="000000" w:sz="8" w:space="0"/>
            </w:tcBorders>
            <w:shd w:val="clear" w:color="auto" w:fill="auto"/>
            <w:vAlign w:val="center"/>
          </w:tcPr>
          <w:p>
            <w:pPr>
              <w:widowControl/>
              <w:spacing w:line="240" w:lineRule="atLeast"/>
              <w:rPr>
                <w:rFonts w:cs="仿宋" w:asciiTheme="minorEastAsia" w:hAnsiTheme="minorEastAsia"/>
                <w:sz w:val="24"/>
              </w:rPr>
            </w:pPr>
            <w:r>
              <w:rPr>
                <w:rFonts w:hint="eastAsia" w:cs="仿宋" w:asciiTheme="minorEastAsia" w:hAnsiTheme="minorEastAsia"/>
                <w:sz w:val="24"/>
              </w:rPr>
              <w:t>小写¥：</w:t>
            </w:r>
          </w:p>
        </w:tc>
      </w:tr>
    </w:tbl>
    <w:p>
      <w:pPr>
        <w:widowControl/>
        <w:spacing w:line="280" w:lineRule="exac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本报价表须机打并加盖报价单位公章，手填无效。</w:t>
      </w:r>
    </w:p>
    <w:p>
      <w:pPr>
        <w:widowControl/>
        <w:spacing w:line="260" w:lineRule="exact"/>
        <w:rPr>
          <w:rFonts w:cs="仿宋" w:asciiTheme="majorEastAsia" w:hAnsiTheme="majorEastAsia" w:eastAsiaTheme="majorEastAsia"/>
          <w:color w:val="333333"/>
          <w:kern w:val="0"/>
          <w:sz w:val="24"/>
          <w:shd w:val="clear" w:color="auto" w:fill="FFFFFF"/>
        </w:rPr>
      </w:pPr>
    </w:p>
    <w:p>
      <w:pPr>
        <w:widowControl/>
        <w:spacing w:line="260" w:lineRule="exac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单    位：</w:t>
      </w:r>
      <w:r>
        <w:rPr>
          <w:rFonts w:hint="eastAsia" w:cs="仿宋" w:asciiTheme="majorEastAsia" w:hAnsiTheme="majorEastAsia" w:eastAsiaTheme="majorEastAsia"/>
          <w:color w:val="333333"/>
          <w:kern w:val="0"/>
          <w:sz w:val="24"/>
          <w:u w:val="single"/>
          <w:shd w:val="clear" w:color="auto" w:fill="FFFFFF"/>
        </w:rPr>
        <w:t>　　　　      </w:t>
      </w:r>
      <w:r>
        <w:rPr>
          <w:rFonts w:hint="eastAsia" w:cs="仿宋" w:asciiTheme="majorEastAsia" w:hAnsiTheme="majorEastAsia" w:eastAsiaTheme="majorEastAsia"/>
          <w:color w:val="333333"/>
          <w:kern w:val="0"/>
          <w:sz w:val="24"/>
          <w:shd w:val="clear" w:color="auto" w:fill="FFFFFF"/>
        </w:rPr>
        <w:t>（须盖章）</w:t>
      </w:r>
    </w:p>
    <w:p>
      <w:pPr>
        <w:widowControl/>
        <w:spacing w:line="260" w:lineRule="exact"/>
        <w:rPr>
          <w:rFonts w:cs="仿宋" w:asciiTheme="majorEastAsia" w:hAnsiTheme="majorEastAsia" w:eastAsiaTheme="majorEastAsia"/>
          <w:sz w:val="24"/>
        </w:rPr>
      </w:pPr>
      <w:r>
        <w:rPr>
          <w:rFonts w:hint="eastAsia" w:cs="仿宋" w:asciiTheme="majorEastAsia" w:hAnsiTheme="majorEastAsia" w:eastAsiaTheme="majorEastAsia"/>
          <w:color w:val="333333"/>
          <w:kern w:val="0"/>
          <w:sz w:val="24"/>
          <w:shd w:val="clear" w:color="auto" w:fill="FFFFFF"/>
        </w:rPr>
        <w:t>   </w:t>
      </w:r>
    </w:p>
    <w:p>
      <w:pPr>
        <w:widowControl/>
        <w:spacing w:line="260" w:lineRule="exact"/>
        <w:rPr>
          <w:rFonts w:cs="仿宋" w:asciiTheme="majorEastAsia" w:hAnsiTheme="majorEastAsia" w:eastAsiaTheme="majorEastAsia"/>
          <w:color w:val="333333"/>
          <w:kern w:val="0"/>
          <w:sz w:val="24"/>
          <w:u w:val="single"/>
          <w:shd w:val="clear" w:color="auto" w:fill="FFFFFF"/>
        </w:rPr>
      </w:pPr>
      <w:r>
        <w:rPr>
          <w:rFonts w:hint="eastAsia" w:cs="仿宋" w:asciiTheme="majorEastAsia" w:hAnsiTheme="majorEastAsia" w:eastAsiaTheme="majorEastAsia"/>
          <w:color w:val="333333"/>
          <w:kern w:val="0"/>
          <w:sz w:val="24"/>
          <w:shd w:val="clear" w:color="auto" w:fill="FFFFFF"/>
        </w:rPr>
        <w:t>联 系 人：</w:t>
      </w:r>
      <w:r>
        <w:rPr>
          <w:rFonts w:hint="eastAsia" w:cs="仿宋" w:asciiTheme="majorEastAsia" w:hAnsiTheme="majorEastAsia" w:eastAsiaTheme="majorEastAsia"/>
          <w:color w:val="333333"/>
          <w:kern w:val="0"/>
          <w:sz w:val="24"/>
          <w:u w:val="single"/>
          <w:shd w:val="clear" w:color="auto" w:fill="FFFFFF"/>
        </w:rPr>
        <w:t>           </w:t>
      </w:r>
      <w:r>
        <w:rPr>
          <w:rFonts w:hint="eastAsia" w:cs="仿宋" w:asciiTheme="majorEastAsia" w:hAnsiTheme="majorEastAsia" w:eastAsiaTheme="majorEastAsia"/>
          <w:color w:val="333333"/>
          <w:kern w:val="0"/>
          <w:sz w:val="24"/>
          <w:shd w:val="clear" w:color="auto" w:fill="FFFFFF"/>
        </w:rPr>
        <w:t>      </w:t>
      </w:r>
    </w:p>
    <w:p>
      <w:pPr>
        <w:widowControl/>
        <w:spacing w:line="260" w:lineRule="exact"/>
        <w:rPr>
          <w:rFonts w:cs="仿宋" w:asciiTheme="majorEastAsia" w:hAnsiTheme="majorEastAsia" w:eastAsiaTheme="majorEastAsia"/>
          <w:sz w:val="24"/>
        </w:rPr>
      </w:pPr>
    </w:p>
    <w:p>
      <w:pPr>
        <w:widowControl/>
        <w:spacing w:line="260" w:lineRule="exac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联系电话：</w:t>
      </w:r>
      <w:r>
        <w:rPr>
          <w:rFonts w:hint="eastAsia" w:cs="仿宋" w:asciiTheme="majorEastAsia" w:hAnsiTheme="majorEastAsia" w:eastAsiaTheme="majorEastAsia"/>
          <w:color w:val="333333"/>
          <w:kern w:val="0"/>
          <w:sz w:val="24"/>
          <w:u w:val="single"/>
          <w:shd w:val="clear" w:color="auto" w:fill="FFFFFF"/>
        </w:rPr>
        <w:t>            </w:t>
      </w:r>
      <w:r>
        <w:rPr>
          <w:rFonts w:hint="eastAsia" w:cs="仿宋" w:asciiTheme="majorEastAsia" w:hAnsiTheme="majorEastAsia" w:eastAsiaTheme="majorEastAsia"/>
          <w:color w:val="333333"/>
          <w:kern w:val="0"/>
          <w:sz w:val="24"/>
          <w:shd w:val="clear" w:color="auto" w:fill="FFFFFF"/>
        </w:rPr>
        <w:t xml:space="preserve">        </w:t>
      </w:r>
    </w:p>
    <w:p>
      <w:pPr>
        <w:widowControl/>
        <w:spacing w:line="260" w:lineRule="exact"/>
        <w:rPr>
          <w:rFonts w:cs="仿宋" w:asciiTheme="majorEastAsia" w:hAnsiTheme="majorEastAsia" w:eastAsiaTheme="majorEastAsia"/>
          <w:color w:val="333333"/>
          <w:kern w:val="0"/>
          <w:sz w:val="24"/>
          <w:shd w:val="clear" w:color="auto" w:fill="FFFFFF"/>
        </w:rPr>
      </w:pPr>
    </w:p>
    <w:p>
      <w:pPr>
        <w:widowControl/>
        <w:spacing w:line="260" w:lineRule="exact"/>
        <w:rPr>
          <w:rFonts w:cs="仿宋" w:asciiTheme="majorEastAsia" w:hAnsiTheme="majorEastAsia" w:eastAsiaTheme="majorEastAsia"/>
          <w:color w:val="333333"/>
          <w:kern w:val="0"/>
          <w:sz w:val="24"/>
          <w:u w:val="single"/>
          <w:shd w:val="clear" w:color="auto" w:fill="FFFFFF"/>
        </w:rPr>
      </w:pPr>
      <w:r>
        <w:rPr>
          <w:rFonts w:hint="eastAsia" w:cs="仿宋" w:asciiTheme="majorEastAsia" w:hAnsiTheme="majorEastAsia" w:eastAsiaTheme="majorEastAsia"/>
          <w:color w:val="333333"/>
          <w:kern w:val="0"/>
          <w:sz w:val="24"/>
          <w:shd w:val="clear" w:color="auto" w:fill="FFFFFF"/>
        </w:rPr>
        <w:t>时      间</w:t>
      </w:r>
      <w:r>
        <w:rPr>
          <w:rFonts w:hint="eastAsia" w:cs="仿宋" w:asciiTheme="majorEastAsia" w:hAnsiTheme="majorEastAsia" w:eastAsiaTheme="majorEastAsia"/>
          <w:color w:val="333333"/>
          <w:kern w:val="0"/>
          <w:sz w:val="24"/>
          <w:u w:val="single"/>
          <w:shd w:val="clear" w:color="auto" w:fill="FFFFFF"/>
        </w:rPr>
        <w:t>：             </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57526"/>
    </w:sdtPr>
    <w:sdtContent>
      <w:p>
        <w:pPr>
          <w:pStyle w:val="7"/>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57783"/>
    <w:rsid w:val="00014018"/>
    <w:rsid w:val="0002780C"/>
    <w:rsid w:val="00031FC8"/>
    <w:rsid w:val="00032F61"/>
    <w:rsid w:val="00033A61"/>
    <w:rsid w:val="000407BC"/>
    <w:rsid w:val="0004671A"/>
    <w:rsid w:val="00067719"/>
    <w:rsid w:val="000958EA"/>
    <w:rsid w:val="00095AFC"/>
    <w:rsid w:val="000C5B15"/>
    <w:rsid w:val="0010390F"/>
    <w:rsid w:val="00106738"/>
    <w:rsid w:val="00141ECC"/>
    <w:rsid w:val="00147B00"/>
    <w:rsid w:val="00171B2E"/>
    <w:rsid w:val="001727EB"/>
    <w:rsid w:val="00177246"/>
    <w:rsid w:val="00182CF5"/>
    <w:rsid w:val="00190E29"/>
    <w:rsid w:val="001A26FF"/>
    <w:rsid w:val="001B010B"/>
    <w:rsid w:val="001B2FE0"/>
    <w:rsid w:val="001D6E29"/>
    <w:rsid w:val="001E71A7"/>
    <w:rsid w:val="001F2272"/>
    <w:rsid w:val="00211135"/>
    <w:rsid w:val="002220A2"/>
    <w:rsid w:val="00222893"/>
    <w:rsid w:val="00224800"/>
    <w:rsid w:val="00224EEF"/>
    <w:rsid w:val="0024474C"/>
    <w:rsid w:val="002478B1"/>
    <w:rsid w:val="00276112"/>
    <w:rsid w:val="00280870"/>
    <w:rsid w:val="002907B9"/>
    <w:rsid w:val="00291E42"/>
    <w:rsid w:val="00296C0C"/>
    <w:rsid w:val="002C03A7"/>
    <w:rsid w:val="003057FD"/>
    <w:rsid w:val="00310D80"/>
    <w:rsid w:val="00335D3D"/>
    <w:rsid w:val="00357D64"/>
    <w:rsid w:val="00360FF5"/>
    <w:rsid w:val="00366E83"/>
    <w:rsid w:val="00382389"/>
    <w:rsid w:val="00383975"/>
    <w:rsid w:val="00396858"/>
    <w:rsid w:val="003A7B3F"/>
    <w:rsid w:val="003B7607"/>
    <w:rsid w:val="003C0C51"/>
    <w:rsid w:val="003F126F"/>
    <w:rsid w:val="003F485C"/>
    <w:rsid w:val="003F50A7"/>
    <w:rsid w:val="003F75A4"/>
    <w:rsid w:val="00422335"/>
    <w:rsid w:val="0042465B"/>
    <w:rsid w:val="0043197B"/>
    <w:rsid w:val="004B4ABF"/>
    <w:rsid w:val="004D7136"/>
    <w:rsid w:val="005129DB"/>
    <w:rsid w:val="005247FC"/>
    <w:rsid w:val="00544EAF"/>
    <w:rsid w:val="00554CFD"/>
    <w:rsid w:val="005640DC"/>
    <w:rsid w:val="00572927"/>
    <w:rsid w:val="00577445"/>
    <w:rsid w:val="00584B9A"/>
    <w:rsid w:val="00594C47"/>
    <w:rsid w:val="00595328"/>
    <w:rsid w:val="005A1200"/>
    <w:rsid w:val="005B78F7"/>
    <w:rsid w:val="005C2701"/>
    <w:rsid w:val="005E2126"/>
    <w:rsid w:val="00604AB8"/>
    <w:rsid w:val="00607EAE"/>
    <w:rsid w:val="00613868"/>
    <w:rsid w:val="00624ECC"/>
    <w:rsid w:val="0066303C"/>
    <w:rsid w:val="00671AFF"/>
    <w:rsid w:val="00676C73"/>
    <w:rsid w:val="00684283"/>
    <w:rsid w:val="006853A6"/>
    <w:rsid w:val="006963E8"/>
    <w:rsid w:val="006A0141"/>
    <w:rsid w:val="006A7AE9"/>
    <w:rsid w:val="006B2829"/>
    <w:rsid w:val="006E4EFA"/>
    <w:rsid w:val="006E5542"/>
    <w:rsid w:val="007078AD"/>
    <w:rsid w:val="0073325D"/>
    <w:rsid w:val="00774CF5"/>
    <w:rsid w:val="007932BB"/>
    <w:rsid w:val="007975D0"/>
    <w:rsid w:val="007A0676"/>
    <w:rsid w:val="007A3F69"/>
    <w:rsid w:val="007A583F"/>
    <w:rsid w:val="007B2FD6"/>
    <w:rsid w:val="007C6F32"/>
    <w:rsid w:val="007D2742"/>
    <w:rsid w:val="007E02B2"/>
    <w:rsid w:val="007F39FD"/>
    <w:rsid w:val="0080477F"/>
    <w:rsid w:val="0081283B"/>
    <w:rsid w:val="00813845"/>
    <w:rsid w:val="00855385"/>
    <w:rsid w:val="008630FF"/>
    <w:rsid w:val="008766D7"/>
    <w:rsid w:val="0087679C"/>
    <w:rsid w:val="00885183"/>
    <w:rsid w:val="00894015"/>
    <w:rsid w:val="00896945"/>
    <w:rsid w:val="008B14F0"/>
    <w:rsid w:val="008B7863"/>
    <w:rsid w:val="0091105D"/>
    <w:rsid w:val="0092787F"/>
    <w:rsid w:val="00936370"/>
    <w:rsid w:val="0094001B"/>
    <w:rsid w:val="00943779"/>
    <w:rsid w:val="00944693"/>
    <w:rsid w:val="00960220"/>
    <w:rsid w:val="00976152"/>
    <w:rsid w:val="00997947"/>
    <w:rsid w:val="009C0C00"/>
    <w:rsid w:val="009C1040"/>
    <w:rsid w:val="009C22AA"/>
    <w:rsid w:val="00A52D6A"/>
    <w:rsid w:val="00AA0C04"/>
    <w:rsid w:val="00AA3D48"/>
    <w:rsid w:val="00AD566D"/>
    <w:rsid w:val="00AD670B"/>
    <w:rsid w:val="00AF74BA"/>
    <w:rsid w:val="00B01A45"/>
    <w:rsid w:val="00B1293F"/>
    <w:rsid w:val="00B156C1"/>
    <w:rsid w:val="00B2341F"/>
    <w:rsid w:val="00B345BC"/>
    <w:rsid w:val="00B436A9"/>
    <w:rsid w:val="00B5038F"/>
    <w:rsid w:val="00B6141E"/>
    <w:rsid w:val="00B65C75"/>
    <w:rsid w:val="00B82DF9"/>
    <w:rsid w:val="00B92879"/>
    <w:rsid w:val="00BA7CF8"/>
    <w:rsid w:val="00BB1ED5"/>
    <w:rsid w:val="00BB5C35"/>
    <w:rsid w:val="00BE38FA"/>
    <w:rsid w:val="00C02AA4"/>
    <w:rsid w:val="00C06A56"/>
    <w:rsid w:val="00C1577C"/>
    <w:rsid w:val="00C24D5A"/>
    <w:rsid w:val="00C4114C"/>
    <w:rsid w:val="00C548D6"/>
    <w:rsid w:val="00C608E8"/>
    <w:rsid w:val="00C62140"/>
    <w:rsid w:val="00C709C2"/>
    <w:rsid w:val="00C8130E"/>
    <w:rsid w:val="00C83008"/>
    <w:rsid w:val="00C83ADD"/>
    <w:rsid w:val="00C83F40"/>
    <w:rsid w:val="00CA1F3A"/>
    <w:rsid w:val="00CD20B8"/>
    <w:rsid w:val="00D16C5F"/>
    <w:rsid w:val="00D324B0"/>
    <w:rsid w:val="00D906C2"/>
    <w:rsid w:val="00D906E4"/>
    <w:rsid w:val="00DC3530"/>
    <w:rsid w:val="00DD25DA"/>
    <w:rsid w:val="00DD5D01"/>
    <w:rsid w:val="00DE2F73"/>
    <w:rsid w:val="00E025AE"/>
    <w:rsid w:val="00E27AFA"/>
    <w:rsid w:val="00E35439"/>
    <w:rsid w:val="00E53B05"/>
    <w:rsid w:val="00E547AF"/>
    <w:rsid w:val="00E57405"/>
    <w:rsid w:val="00E62C81"/>
    <w:rsid w:val="00E67D32"/>
    <w:rsid w:val="00E9256C"/>
    <w:rsid w:val="00E939F8"/>
    <w:rsid w:val="00EA007A"/>
    <w:rsid w:val="00EB15A9"/>
    <w:rsid w:val="00ED4730"/>
    <w:rsid w:val="00ED4F36"/>
    <w:rsid w:val="00ED57DB"/>
    <w:rsid w:val="00F00AB2"/>
    <w:rsid w:val="00F01E3F"/>
    <w:rsid w:val="00F07CAA"/>
    <w:rsid w:val="00F265E4"/>
    <w:rsid w:val="00F400E5"/>
    <w:rsid w:val="00F40427"/>
    <w:rsid w:val="00F6384F"/>
    <w:rsid w:val="00F777E7"/>
    <w:rsid w:val="00F77B3F"/>
    <w:rsid w:val="00FC3C5A"/>
    <w:rsid w:val="00FD0E95"/>
    <w:rsid w:val="00FD7173"/>
    <w:rsid w:val="00FE0B21"/>
    <w:rsid w:val="00FE7D60"/>
    <w:rsid w:val="00FF1F19"/>
    <w:rsid w:val="01765DC1"/>
    <w:rsid w:val="025802A0"/>
    <w:rsid w:val="0713514D"/>
    <w:rsid w:val="08512E93"/>
    <w:rsid w:val="092C42B8"/>
    <w:rsid w:val="09CA136C"/>
    <w:rsid w:val="0A9D20DE"/>
    <w:rsid w:val="0C1B459F"/>
    <w:rsid w:val="0C593442"/>
    <w:rsid w:val="0CD523DD"/>
    <w:rsid w:val="0E834DB1"/>
    <w:rsid w:val="0EB7744D"/>
    <w:rsid w:val="10EF6AAC"/>
    <w:rsid w:val="122F1A34"/>
    <w:rsid w:val="16D37ECF"/>
    <w:rsid w:val="174B487B"/>
    <w:rsid w:val="17B57783"/>
    <w:rsid w:val="18351A75"/>
    <w:rsid w:val="193D4B62"/>
    <w:rsid w:val="1B70419C"/>
    <w:rsid w:val="1CC27C64"/>
    <w:rsid w:val="1E1C0E7D"/>
    <w:rsid w:val="1F257388"/>
    <w:rsid w:val="1F7B2FF2"/>
    <w:rsid w:val="211D0BEF"/>
    <w:rsid w:val="2134784B"/>
    <w:rsid w:val="220F469A"/>
    <w:rsid w:val="22C131D5"/>
    <w:rsid w:val="25086834"/>
    <w:rsid w:val="2702464B"/>
    <w:rsid w:val="27C833ED"/>
    <w:rsid w:val="28133599"/>
    <w:rsid w:val="28542A92"/>
    <w:rsid w:val="28C500A7"/>
    <w:rsid w:val="297A11F1"/>
    <w:rsid w:val="29E01B3F"/>
    <w:rsid w:val="2CE25D19"/>
    <w:rsid w:val="318E1C3C"/>
    <w:rsid w:val="34074823"/>
    <w:rsid w:val="39D843AE"/>
    <w:rsid w:val="3CD21301"/>
    <w:rsid w:val="3DE40B5C"/>
    <w:rsid w:val="3E685793"/>
    <w:rsid w:val="3EA17A1E"/>
    <w:rsid w:val="40697E6D"/>
    <w:rsid w:val="41AB2095"/>
    <w:rsid w:val="44DF0572"/>
    <w:rsid w:val="456173F4"/>
    <w:rsid w:val="4604544F"/>
    <w:rsid w:val="47BD34BF"/>
    <w:rsid w:val="4B0002D2"/>
    <w:rsid w:val="4B251822"/>
    <w:rsid w:val="516B5245"/>
    <w:rsid w:val="52B80939"/>
    <w:rsid w:val="578C2C8E"/>
    <w:rsid w:val="584C2BE1"/>
    <w:rsid w:val="598F02D9"/>
    <w:rsid w:val="5AAA5E7C"/>
    <w:rsid w:val="5B2436C5"/>
    <w:rsid w:val="5C2774EE"/>
    <w:rsid w:val="5EED075F"/>
    <w:rsid w:val="627F6910"/>
    <w:rsid w:val="62DA22F3"/>
    <w:rsid w:val="649E4C7F"/>
    <w:rsid w:val="66B50BEF"/>
    <w:rsid w:val="67D03C12"/>
    <w:rsid w:val="6B8E1B39"/>
    <w:rsid w:val="6BF877E9"/>
    <w:rsid w:val="6E9E385E"/>
    <w:rsid w:val="70B217A4"/>
    <w:rsid w:val="70F671C1"/>
    <w:rsid w:val="725B6989"/>
    <w:rsid w:val="74C93B8B"/>
    <w:rsid w:val="75D6644C"/>
    <w:rsid w:val="785877E2"/>
    <w:rsid w:val="79067D3F"/>
    <w:rsid w:val="79134C61"/>
    <w:rsid w:val="7C920922"/>
    <w:rsid w:val="7D1A63EC"/>
    <w:rsid w:val="7D452118"/>
    <w:rsid w:val="7EEF1B8D"/>
    <w:rsid w:val="7F973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15"/>
    <w:qFormat/>
    <w:uiPriority w:val="0"/>
    <w:pPr>
      <w:ind w:firstLine="420"/>
    </w:pPr>
    <w:rPr>
      <w:rFonts w:ascii="Calibri" w:hAnsi="Calibri" w:eastAsia="宋体" w:cs="Times New Roman"/>
      <w:szCs w:val="20"/>
    </w:rPr>
  </w:style>
  <w:style w:type="paragraph" w:styleId="6">
    <w:name w:val="Balloon Text"/>
    <w:basedOn w:val="1"/>
    <w:link w:val="17"/>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Hyperlink"/>
    <w:basedOn w:val="11"/>
    <w:qFormat/>
    <w:uiPriority w:val="0"/>
    <w:rPr>
      <w:color w:val="0000FF"/>
      <w:u w:val="single"/>
    </w:rPr>
  </w:style>
  <w:style w:type="character" w:customStyle="1" w:styleId="13">
    <w:name w:val="页眉 Char"/>
    <w:basedOn w:val="11"/>
    <w:link w:val="8"/>
    <w:qFormat/>
    <w:uiPriority w:val="0"/>
    <w:rPr>
      <w:rFonts w:asciiTheme="minorHAnsi" w:hAnsiTheme="minorHAnsi" w:eastAsiaTheme="minorEastAsia" w:cstheme="minorBidi"/>
      <w:kern w:val="2"/>
      <w:sz w:val="18"/>
      <w:szCs w:val="18"/>
    </w:rPr>
  </w:style>
  <w:style w:type="character" w:customStyle="1" w:styleId="14">
    <w:name w:val="页脚 Char"/>
    <w:basedOn w:val="11"/>
    <w:link w:val="7"/>
    <w:qFormat/>
    <w:uiPriority w:val="99"/>
    <w:rPr>
      <w:rFonts w:asciiTheme="minorHAnsi" w:hAnsiTheme="minorHAnsi" w:eastAsiaTheme="minorEastAsia" w:cstheme="minorBidi"/>
      <w:kern w:val="2"/>
      <w:sz w:val="18"/>
      <w:szCs w:val="18"/>
    </w:rPr>
  </w:style>
  <w:style w:type="character" w:customStyle="1" w:styleId="15">
    <w:name w:val="正文缩进 Char"/>
    <w:link w:val="5"/>
    <w:qFormat/>
    <w:uiPriority w:val="0"/>
    <w:rPr>
      <w:kern w:val="2"/>
      <w:sz w:val="21"/>
    </w:rPr>
  </w:style>
  <w:style w:type="paragraph" w:customStyle="1" w:styleId="16">
    <w:name w:val="fbb"/>
    <w:basedOn w:val="1"/>
    <w:qFormat/>
    <w:uiPriority w:val="0"/>
    <w:pPr>
      <w:adjustRightInd w:val="0"/>
      <w:spacing w:before="100" w:beforeAutospacing="1" w:after="100" w:afterAutospacing="1"/>
      <w:jc w:val="center"/>
      <w:textAlignment w:val="baseline"/>
    </w:pPr>
    <w:rPr>
      <w:rFonts w:ascii="宋体" w:hAnsi="宋体" w:eastAsia="黑体" w:cs="Times New Roman"/>
      <w:kern w:val="0"/>
      <w:sz w:val="32"/>
      <w:szCs w:val="32"/>
    </w:rPr>
  </w:style>
  <w:style w:type="character" w:customStyle="1" w:styleId="17">
    <w:name w:val="批注框文本 Char"/>
    <w:basedOn w:val="11"/>
    <w:link w:val="6"/>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标题 2 Char"/>
    <w:basedOn w:val="11"/>
    <w:link w:val="3"/>
    <w:qFormat/>
    <w:uiPriority w:val="9"/>
    <w:rPr>
      <w:rFonts w:asciiTheme="majorHAnsi" w:hAnsiTheme="majorHAnsi" w:eastAsiaTheme="majorEastAsia" w:cstheme="majorBidi"/>
      <w:b/>
      <w:bCs/>
      <w:kern w:val="2"/>
      <w:sz w:val="32"/>
      <w:szCs w:val="32"/>
    </w:rPr>
  </w:style>
  <w:style w:type="character" w:customStyle="1" w:styleId="20">
    <w:name w:val="标题 3 Char"/>
    <w:basedOn w:val="11"/>
    <w:link w:val="4"/>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8B4F0-57F7-45EC-AA29-142705B37D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1142</Words>
  <Characters>6514</Characters>
  <Lines>54</Lines>
  <Paragraphs>15</Paragraphs>
  <TotalTime>431</TotalTime>
  <ScaleCrop>false</ScaleCrop>
  <LinksUpToDate>false</LinksUpToDate>
  <CharactersWithSpaces>7641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2018-11-15T08:38:00Z</dcterms:created>
  <dc:creator>Ice Man</dc:creator>
  <cp:lastModifiedBy>瑾年</cp:lastModifiedBy>
  <cp:lastPrinted>2018-12-27T01:34:00Z</cp:lastPrinted>
  <dcterms:modified xsi:type="dcterms:W3CDTF">2019-07-26T08:24:03Z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